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360" w:after="80"/>
        <w:rPr/>
      </w:pPr>
      <w:bookmarkStart w:id="0" w:name="header"/>
      <w:bookmarkStart w:id="1" w:name="content"/>
      <w:bookmarkStart w:id="2" w:name="X6086c3e2b05330082f7ef5eaffa647d157b75a4"/>
      <w:bookmarkEnd w:id="0"/>
      <w:r>
        <w:rPr/>
        <w:t>Karvės dydis šiuolaikinėse pieninių galvijų veisimo programose</w:t>
      </w:r>
    </w:p>
    <w:p>
      <w:pPr>
        <w:pStyle w:val="Heading2"/>
        <w:rPr/>
      </w:pPr>
      <w:r>
        <w:rPr/>
        <w:t>S</w:t>
      </w:r>
      <w:bookmarkStart w:id="3" w:name="santrauka"/>
      <w:r>
        <w:rPr/>
        <w:t>antrauka</w:t>
      </w:r>
    </w:p>
    <w:p>
      <w:pPr>
        <w:pStyle w:val="FirstParagraph"/>
        <w:rPr/>
      </w:pPr>
      <w:r>
        <w:rPr/>
        <w:t xml:space="preserve">Trumpas atsakymas į pagrindinį klausimą yra toks: pagrindinės šiuolaikinės pieninių galvijų veisimo programos jau nebeina kryptimi „kuo didesnė karvė, tuo geriau“. Oficialiuose ekonominiuose ir bendruosiuose selekcijos indeksuose vis dažniau matomas arba tiesioginis kūno masės ir išlaikymo kaštų įkainojimas, arba netiesioginis stabdis ekstremaliam ūgiui per funkcinį eksterjerą, ilgaamžiškumą, pašarų efektyvumą ir robotiniam melžimui tinkamus požymius. Kitaip tariant, ateities pieninė karvė daugumoje sistemų yra ne aukšta ir stambi „pagal principą“, o vidutinio dydžio, ilgaamžė, vaisinga, sveika, gerai judanti, ekonomiškai efektyvi ir gerai pritaikyta konkrečiai gamybos sistemai. (1–24) </w:t>
      </w:r>
      <w:hyperlink r:id="rId2">
        <w:r>
          <w:rPr>
            <w:rStyle w:val="Hyperlink"/>
          </w:rPr>
          <w:t>[1]</w:t>
        </w:r>
      </w:hyperlink>
    </w:p>
    <w:p>
      <w:pPr>
        <w:pStyle w:val="BodyText"/>
        <w:rPr/>
      </w:pPr>
      <w:r>
        <w:rPr/>
        <w:t xml:space="preserve">Svarbiausias pokytis 2020–2026 m. laikotarpiu yra tas, kad dydis vis dažniau traktuojamas ne kaip savitikslis „grožio“ ar „galios“ požymis, o kaip ekonominis ir sisteminis kintamasis. Didesnė karvė dažniausiai reiškia didesnius palaikymo energijos poreikius, daugiau pašarų, daugiau spaudimo tvarto ir robotų infrastruktūrai, o jos pranašumas pateisinamas tik tada, kai tas dydis realiai virsta didesniu viso gyvenimo pelnu, sveikumu ir darbo paprastumu. Kai tai neįvyksta, selekcijos sistemos pradeda arba mažinti dydžio reikšmę, arba net bausti ekstremalų ūgį. (1–4, 6–16, 18–24) </w:t>
      </w:r>
      <w:hyperlink r:id="rId3">
        <w:r>
          <w:rPr>
            <w:rStyle w:val="Hyperlink"/>
          </w:rPr>
          <w:t>[2]</w:t>
        </w:r>
      </w:hyperlink>
      <w:bookmarkEnd w:id="3"/>
    </w:p>
    <w:p>
      <w:pPr>
        <w:pStyle w:val="Heading2"/>
        <w:rPr/>
      </w:pPr>
      <w:r>
        <w:rPr/>
        <w:t>K</w:t>
      </w:r>
      <w:bookmarkStart w:id="4" w:name="kaip-dabartinės-sistemos-vertina-dydį"/>
      <w:r>
        <w:rPr/>
        <w:t>aip dabartinės sistemos vertina dydį</w:t>
      </w:r>
    </w:p>
    <w:p>
      <w:pPr>
        <w:pStyle w:val="FirstParagraph"/>
        <w:rPr/>
      </w:pPr>
      <w:r>
        <w:rPr/>
        <w:t xml:space="preserve">Šiandien pasaulyje ryškėja keturios pagrindinės logikos. Pirma, kūno dydis vis dažniau paverčiamas tiesioginiu ekonominiu požymiu per kūno svorį, palaikymo poreikius ar „saved feed“ tipo vertinimus. Antra, iš bendrųjų indeksų traukiasi arba silpnėja tie eksterjero komponentai, kurie istoriškai stūmė karvę į per didelį rėmą. Trečia, funkcinio eksterjero sistemose daugėja „intermediate optimum“ principo, t. y. idealas yra ne minimumas ir ne maksimumas, o funkcinis vidurys. Ketvirta, robotizacija didina ne rėmo, o tešmens, spenių padėties, udder balance, melžimo greičio ir lokomocijos reikšmę. (3–5, 9–16, 18–19) </w:t>
      </w:r>
      <w:hyperlink r:id="rId4">
        <w:r>
          <w:rPr>
            <w:rStyle w:val="Hyperlink"/>
          </w:rPr>
          <w:t>[3]</w:t>
        </w:r>
      </w:hyperlink>
    </w:p>
    <w:p>
      <w:pPr>
        <w:pStyle w:val="BodyText"/>
        <w:rPr/>
      </w:pPr>
      <w:r>
        <w:rPr/>
        <w:t xml:space="preserve">Iš šios logikos išplaukia labai svarbus praktinis skirtumas. Vidutinio dydžio karvė nereiškia „maža ir silpna“. Daugelyje sistemų siekiama karvės, kuri turi pakankamai kūno talpos, tvirtą tešmenį ir galūnes, gerą vaisingumą bei aukštą komponentų produkciją, tačiau nėra „per aukšta“ ir „per sunki“ tiek, kad jos išlaikymo kaina pradėtų naikinti papildomą naudą. Todėl selekcija vis dažniau eina ne į mažinimą bet kokia kaina, o į dydžio optimizavimą pagal pelningumą per visą gyvenimą. (1–4, 6, 10–16, 21–24) </w:t>
      </w:r>
      <w:hyperlink r:id="rId5">
        <w:r>
          <w:rPr>
            <w:rStyle w:val="Hyperlink"/>
          </w:rPr>
          <w:t>[4]</w:t>
        </w:r>
      </w:hyperlink>
      <w:bookmarkEnd w:id="4"/>
    </w:p>
    <w:p>
      <w:pPr>
        <w:pStyle w:val="Heading2"/>
        <w:rPr/>
      </w:pPr>
      <w:r>
        <w:rPr/>
        <w:t>R</w:t>
      </w:r>
      <w:bookmarkStart w:id="5" w:name="regioninė-analizė"/>
      <w:r>
        <w:rPr/>
        <w:t>egioninė analizė</w:t>
      </w:r>
    </w:p>
    <w:p>
      <w:pPr>
        <w:pStyle w:val="FirstParagraph"/>
        <w:rPr/>
      </w:pPr>
      <w:r>
        <w:rPr/>
        <w:t>Jungtinės Amerikos Valstijos</w:t>
      </w:r>
      <w:hyperlink r:id="rId6">
        <w:r>
          <w:rPr>
            <w:rStyle w:val="Hyperlink"/>
          </w:rPr>
          <w:t>[5]</w:t>
        </w:r>
      </w:hyperlink>
      <w:r>
        <w:rPr/>
        <w:t>. Oficialioje CDCB</w:t>
      </w:r>
      <w:hyperlink r:id="rId7">
        <w:r>
          <w:rPr>
            <w:rStyle w:val="Hyperlink"/>
          </w:rPr>
          <w:t>[6]</w:t>
        </w:r>
      </w:hyperlink>
      <w:r>
        <w:rPr/>
        <w:t xml:space="preserve"> ekonominėje sistemoje Net Merit 2025 bendras indeksas yra aiškiai ekonominis: 45 % tenka produkcijai, 32 % sveikatai, 8 % eksterjerui, 7 % veršiavimosi požymiams ir 8 % pašarų taupymui. Tai jau savaime rodo, kad dydis nėra savarankiškas selekcijos tikslas; jis aktualus tiek, kiek daro įtaką sąnaudoms ir funkcionalumui. JAV sistemoje kūno dydžio ekonomika integruojama per Body Weight Composite ir Feed Saved logiką, t. y. per išlaikymo kaštus ir gebėjimą pagaminti daugiau iš to paties ar mažesnio sausųjų medžiagų kiekio. (1–2) </w:t>
      </w:r>
      <w:hyperlink r:id="rId8">
        <w:r>
          <w:rPr>
            <w:rStyle w:val="Hyperlink"/>
          </w:rPr>
          <w:t>[7]</w:t>
        </w:r>
      </w:hyperlink>
    </w:p>
    <w:p>
      <w:pPr>
        <w:pStyle w:val="BodyText"/>
        <w:rPr/>
      </w:pPr>
      <w:r>
        <w:rPr/>
        <w:t>JAV įdomiausia yra tai, kad net ten, kur istoriškai Holstein rinka ilgai toleravo ar net mėgo aukštesnę, „show“ tipo karvę, pati veislės organizacija Holstein USA</w:t>
      </w:r>
      <w:hyperlink r:id="rId9">
        <w:r>
          <w:rPr>
            <w:rStyle w:val="Hyperlink"/>
          </w:rPr>
          <w:t>[8]</w:t>
        </w:r>
      </w:hyperlink>
      <w:r>
        <w:rPr/>
        <w:t xml:space="preserve"> 2026 m. pasiūlė ryškų stabdį ekstremaliam ūgiui. Naujojo Holstein Conformation Composite sudėtyje ūgiui tenka 15 % svorio ir jis aiškiai „favors lower values“, o klasifikacijoje 60 colių laikoma idealiu ūgiu, taikant slenkančią nuoskaitą aukštesnėms karvėms. Tai yra viena aiškiausių viešų žinučių pasaulinėje Holstein sistemoje, kad ekstremalus ūgis nebelaikomas pageidautinu savaime. Interpretacija: JAV oficialus ekonominis branduolys juda į vidutinio dydžio, pelningesnę ir funkcionalesnę karvę, nors rinkoje vis dar išlieka nišų, kur didesnis rėmas toleruojamas labiau nei Europoje. (3–4) </w:t>
      </w:r>
      <w:hyperlink r:id="rId10">
        <w:r>
          <w:rPr>
            <w:rStyle w:val="Hyperlink"/>
          </w:rPr>
          <w:t>[9]</w:t>
        </w:r>
      </w:hyperlink>
    </w:p>
    <w:p>
      <w:pPr>
        <w:pStyle w:val="BodyText"/>
        <w:rPr/>
      </w:pPr>
      <w:r>
        <w:rPr/>
        <w:t>Kanada</w:t>
      </w:r>
      <w:hyperlink r:id="rId11">
        <w:r>
          <w:rPr>
            <w:rStyle w:val="Hyperlink"/>
          </w:rPr>
          <w:t>[10]</w:t>
        </w:r>
      </w:hyperlink>
      <w:r>
        <w:rPr/>
        <w:t>. Lactanet</w:t>
      </w:r>
      <w:hyperlink r:id="rId12">
        <w:r>
          <w:rPr>
            <w:rStyle w:val="Hyperlink"/>
          </w:rPr>
          <w:t>[11]</w:t>
        </w:r>
      </w:hyperlink>
      <w:r>
        <w:rPr/>
        <w:t xml:space="preserve"> 2025 m. modernizavo LPI ir Holšteinams nustatė tokius subindeksų svorius: produkcija 40 %, ilgaamžiškumas ir tipas 32 %, sveikata ir gerovė 8 %, reprodukcija 10 %, melžiamumas 5 % ir aplinkos poveikis 5 %. Būtent šis Environmental Impact subindeksas yra labai svarbus dydžio klausimui, nes jis tiesiogiai apima Feed Efficiency, Methane Efficiency ir Body Maintenance Requirements. Oficialioje Lactanet logikoje kūno dydis ir svoris pripažįstami svarbiais gyvulio anglies pėdsako ir pašarų sąnaudų veiksniais. (5, 9) </w:t>
      </w:r>
      <w:hyperlink r:id="rId13">
        <w:r>
          <w:rPr>
            <w:rStyle w:val="Hyperlink"/>
          </w:rPr>
          <w:t>[12]</w:t>
        </w:r>
      </w:hyperlink>
    </w:p>
    <w:p>
      <w:pPr>
        <w:pStyle w:val="BodyText"/>
        <w:rPr/>
      </w:pPr>
      <w:r>
        <w:rPr/>
        <w:t xml:space="preserve">Kanados sistema yra viena aiškiausių pasaulyje, kur kūno svoris tampa konkrečiu ekonominiu genetinio vertinimo objektu. BMR apibrėžiamas kaip pašarų poreikis kūno palaikymui pagal metabolinį kūno svorį; +5 punktų BMR tėvo vertėje reiškia maždaug 20 kg mažesnį dukterų kūno svorį ir apie 70 JAV dolerių mažesnes palaikymo pašarų sąnaudas per tris laktacijas. Be to, Lactanet aiškiai nurodo, kad netiesioginė ankstesnė selekcija didino Holstein svorį, o BMR buvo sukurtas kaip priemonė šį procesą koreguoti. (6) </w:t>
      </w:r>
      <w:hyperlink r:id="rId14">
        <w:r>
          <w:rPr>
            <w:rStyle w:val="Hyperlink"/>
          </w:rPr>
          <w:t>[13]</w:t>
        </w:r>
      </w:hyperlink>
    </w:p>
    <w:p>
      <w:pPr>
        <w:pStyle w:val="BodyText"/>
        <w:rPr/>
      </w:pPr>
      <w:r>
        <w:rPr/>
        <w:t xml:space="preserve">Kanados poslinkis dar ryškesnis žiūrint į LTI finalizavimo logiką. 2024 m. Lactanet finalizavimo medžiagoje Holšteinų LTI rekomenduota neskirti tiesioginio svorio Dairy Strength, o jo vietą perkelti į Feet &amp; Legs; tuo pat metu Holšteinų LTI siūloma reali struktūra buvo 22 % herd life, 40 % mammary system, 33 % feet &amp; legs, 0 % dairy strength ir 5 % rump. Argumentas buvo aiškus: Dairy Strength ir keli jos linijiniai požymiai turi neigiamą ryšį su ilgaamžiškumu ir Herd Life, o tiesioginis Dairy Strength akcentas neutralizuotų BMR įtraukimą į aplinkos subindeksą. Interpretacija: Kanada ne tik mažina ekstremalaus ūgio reikšmę, bet ir aktyviai „išjungia“ selekcines jėgas, kurios stumia karvę į per didelį kūną. (7–9) </w:t>
      </w:r>
      <w:hyperlink r:id="rId15">
        <w:r>
          <w:rPr>
            <w:rStyle w:val="Hyperlink"/>
          </w:rPr>
          <w:t>[14]</w:t>
        </w:r>
      </w:hyperlink>
    </w:p>
    <w:p>
      <w:pPr>
        <w:pStyle w:val="BodyText"/>
        <w:rPr/>
      </w:pPr>
      <w:r>
        <w:rPr/>
        <w:t>Šiaurės Europa. VikingGenetics</w:t>
      </w:r>
      <w:hyperlink r:id="rId16">
        <w:r>
          <w:rPr>
            <w:rStyle w:val="Hyperlink"/>
          </w:rPr>
          <w:t>[15]</w:t>
        </w:r>
      </w:hyperlink>
      <w:r>
        <w:rPr/>
        <w:t xml:space="preserve"> ir NAV</w:t>
      </w:r>
      <w:hyperlink r:id="rId17">
        <w:r>
          <w:rPr>
            <w:rStyle w:val="Hyperlink"/>
          </w:rPr>
          <w:t>[16]</w:t>
        </w:r>
      </w:hyperlink>
      <w:r>
        <w:rPr/>
        <w:t xml:space="preserve"> turbūt rodo nuosekliausią pasaulinę kryptį į vidutinio dydžio, funkcinę karvę. 2025 m. NTM svorių lentelėje Holšteinams Frame svoris yra 0.00, o Saved feed svoris padidintas iki 0.18; tiek pat jis sveria ir Jersey. Holšteinų NTM koreliacija su Frame yra neigiama, -0.05, o su Saved feed teigiama, 0.25. Tai reiškia, kad pagal NTM selekcionuojantys ūkiai negauna signalo didinti rėmą, bet gauna aiškų signalą didinti pašarų efektyvumą. (10–11) </w:t>
      </w:r>
      <w:hyperlink r:id="rId18">
        <w:r>
          <w:rPr>
            <w:rStyle w:val="Hyperlink"/>
          </w:rPr>
          <w:t>[17]</w:t>
        </w:r>
      </w:hyperlink>
    </w:p>
    <w:p>
      <w:pPr>
        <w:pStyle w:val="BodyText"/>
        <w:rPr/>
      </w:pPr>
      <w:r>
        <w:rPr/>
        <w:t xml:space="preserve">Nordikų Saved feed logika yra itin svarbi dydžio temai. NAV nurodo, kad saved feed vertė remiasi sausojo pašaro suvartojimu, ECM gamyba ir svorio pokyčiais, o maintenance efficiency aprašo genetinį potencialą taupyti pašarą dėl mažesnių palaikymo poreikių; tam naudojami ne tik gyvojo svorio duomenys, bet ir koreliuojantys eksterjero požymiai – ūgis, kūno gilumas ir krūtinės plotis. VikingGenetics savo ruožtu atvirai rašo, kad sveikatos ir frame požymių genetinė koreliacija yra neigiama ir kad jie sąmoningai riboja frame genetinę pažangą, kad veistų vidutinio dydžio, sveikas, produktyvias ir efektyvias karves. Tai yra bene stipriausia oficiali pasaulinė formuluotė prieš „didesnę karvę kaip tikslą“. (12–13) </w:t>
      </w:r>
      <w:hyperlink r:id="rId19">
        <w:r>
          <w:rPr>
            <w:rStyle w:val="Hyperlink"/>
          </w:rPr>
          <w:t>[18]</w:t>
        </w:r>
      </w:hyperlink>
    </w:p>
    <w:p>
      <w:pPr>
        <w:pStyle w:val="BodyText"/>
        <w:rPr/>
      </w:pPr>
      <w:r>
        <w:rPr/>
        <w:t>Nyderlandai</w:t>
      </w:r>
      <w:hyperlink r:id="rId20">
        <w:r>
          <w:rPr>
            <w:rStyle w:val="Hyperlink"/>
          </w:rPr>
          <w:t>[19]</w:t>
        </w:r>
      </w:hyperlink>
      <w:r>
        <w:rPr/>
        <w:t xml:space="preserve"> ir Belgija</w:t>
      </w:r>
      <w:hyperlink r:id="rId21">
        <w:r>
          <w:rPr>
            <w:rStyle w:val="Hyperlink"/>
          </w:rPr>
          <w:t>[20]</w:t>
        </w:r>
      </w:hyperlink>
      <w:r>
        <w:rPr/>
        <w:t>. CRV</w:t>
      </w:r>
      <w:hyperlink r:id="rId22">
        <w:r>
          <w:rPr>
            <w:rStyle w:val="Hyperlink"/>
          </w:rPr>
          <w:t>[21]</w:t>
        </w:r>
      </w:hyperlink>
      <w:r>
        <w:rPr/>
        <w:t xml:space="preserve"> sistemas verta išskirti todėl, kad jos labai aiškiai atskiria klasifikacinį eksterjero aprašymą nuo to, kas realiai apmokama bendrame indekse NVI. CRV aiškina, kad NVI Nyderlanduose ir Flandrijoje skirtas buliams rikiuoti pagal nacionalinį veisimo tikslą, kuris turi gerinti produkciją ir ilgaamžiškumą, mažinti brokavimą ir didinti vaisingumą bei sveikatą. Pats NVI remiasi trimis komponentais – produkcija, sveikata ir eksterjeru – tačiau tiesiogiai į NVI eksterjero dalį įeina tešmuo ir kojos, o ne frame ar dairy strength. Tai yra esminė detalė: rėmas CRV klasifikacijoje vis dar matuojamas, bet jis nebėra tiesiogiai apmokamas NVI logikoje taip, kaip tešmuo ir kojos. (14–15) </w:t>
      </w:r>
      <w:hyperlink r:id="rId23">
        <w:r>
          <w:rPr>
            <w:rStyle w:val="Hyperlink"/>
          </w:rPr>
          <w:t>[22]</w:t>
        </w:r>
      </w:hyperlink>
    </w:p>
    <w:p>
      <w:pPr>
        <w:pStyle w:val="BodyText"/>
        <w:rPr/>
      </w:pPr>
      <w:r>
        <w:rPr/>
        <w:t xml:space="preserve">CRV NVI formulėje pieninių veislių atveju naudojama 0.37 × INET ir 0.37 × saved feed cost for maintenance, o toliau prisideda ilgaamžiškumas, tešmens sveikata, vaisingumas, nagų sveikata, veršiavimasis, tešmuo ir kojos. 2022/2023 aprašyme saved feed cost for maintenance turi 9 % reikšmę pagal „importance“ ir 7 % pagal „weight“, ilgaamžiškumas 16 %, tešmens sveikata 14 %, vaisingumas 12 %, o tešmuo ir kojos atitinkamai tik 3 % ir 4 % pagal svorio išraišką. Tai rodo, kad CRV/NVI modelyje dydis pirmiausia vertinamas per jo ekonominę kainą, o funkcinis tipas – per tai, kas realiai palaiko ilgaamžį darbą. (15) </w:t>
      </w:r>
      <w:hyperlink r:id="rId24">
        <w:r>
          <w:rPr>
            <w:rStyle w:val="Hyperlink"/>
          </w:rPr>
          <w:t>[23]</w:t>
        </w:r>
      </w:hyperlink>
    </w:p>
    <w:p>
      <w:pPr>
        <w:pStyle w:val="BodyText"/>
        <w:rPr/>
      </w:pPr>
      <w:r>
        <w:rPr/>
        <w:t xml:space="preserve">CRV puikiai parodo ir robotizacijos efektą. Nuo 2023–2024 m. robotų duomenys Olandijos ir Flandrijos vertinimuose naudojami melžimo greičiui ir naujam tešmens pusiausvyros požymiui; CRV aiškiai nurodo, kad per aukštai pakeltas galinis tešmuo arba priešingai per gilus galinis tešmuo apsunkina roboto uždėjimą, todėl udder balance yra optimumo, o ne „kuo daugiau, tuo geriau“ požymis. Interpretacija: CRV kryptis yra ne stambi karvė, o technologiškai suderinama, funkciškai teisinga, ilgaamžė ir pašarams taupi karvė. (16) </w:t>
      </w:r>
      <w:hyperlink r:id="rId25">
        <w:r>
          <w:rPr>
            <w:rStyle w:val="Hyperlink"/>
          </w:rPr>
          <w:t>[24]</w:t>
        </w:r>
      </w:hyperlink>
    </w:p>
    <w:p>
      <w:pPr>
        <w:pStyle w:val="BodyText"/>
        <w:rPr/>
      </w:pPr>
      <w:r>
        <w:rPr/>
        <w:t>Vokietija</w:t>
      </w:r>
      <w:hyperlink r:id="rId26">
        <w:r>
          <w:rPr>
            <w:rStyle w:val="Hyperlink"/>
          </w:rPr>
          <w:t>[25]</w:t>
        </w:r>
      </w:hyperlink>
      <w:r>
        <w:rPr/>
        <w:t>. Vokietijos sistemoje, kurią viešina vit</w:t>
      </w:r>
      <w:hyperlink r:id="rId27">
        <w:r>
          <w:rPr>
            <w:rStyle w:val="Hyperlink"/>
          </w:rPr>
          <w:t>[26]</w:t>
        </w:r>
      </w:hyperlink>
      <w:r>
        <w:rPr/>
        <w:t xml:space="preserve">, 2021 m. buvo įvestas reikšmingai peržiūrėtas RZG, papildytas tiesioginiais sveikatos požymiais ir jauniklių išgyvenamumu. 2020 m. šalia jo atsirado ir RZ€, orientuotas į pieno gamybos ekonomiką, o 2024 m. pirmą kartą oficialiai paskelbtas RZFeedEfficiency. Tai rodo, kad Vokietija nuo klasikinio bendro Holštein indekso sparčiai juda link aiškesnio ekonominių įėjimų ir išėjimų balansavimo. (17–19) </w:t>
      </w:r>
      <w:hyperlink r:id="rId28">
        <w:r>
          <w:rPr>
            <w:rStyle w:val="Hyperlink"/>
          </w:rPr>
          <w:t>[27]</w:t>
        </w:r>
      </w:hyperlink>
    </w:p>
    <w:p>
      <w:pPr>
        <w:pStyle w:val="BodyText"/>
        <w:rPr/>
      </w:pPr>
      <w:r>
        <w:rPr/>
        <w:t xml:space="preserve">RZFeedEfficiency aprašomas kaip „feed saved“ logika: kiek mažiau ar daugiau sausųjų medžiagų karvė suėda savo produktyviam darbui, palyginti su lūkesčiu, į kurį įtraukiama ne tik pieno gamyba, bet ir kūno svorio prieaugis. Interbull publikuotas Vokietijos darbas nurodo, kad RZFeedEfficiency nuo 2024 m. skelbiamas rutiniškai, jo vidurkis yra 100, genetinis standartinis nuokrypis 12, o koreliacijos su RZM ir kitais pagrindiniais bendrais indeksais yra arti nulio. Kitaip tariant, pašarų efektyvumas čia tapo savarankišku selekcijos objektu, o ne vien šalutiniu daug pieno duodančios karvės efektu. Papildomai 2024 m. buvo atnaujintas ir RZRobot, todėl automatizacijos kriterijai Vokietijoje tampa vis svarbesni. Interpretacija: Vokietija nėra tokia atvirai „anti-frame“ kaip Šiaurės Europa, bet praktinė kryptis yra ta pati – produktyvumas turi eiti kartu su funkcija, robotika ir efektyvumu, o ne su vien didesniu rėmu. (18–19) </w:t>
      </w:r>
      <w:hyperlink r:id="rId29">
        <w:r>
          <w:rPr>
            <w:rStyle w:val="Hyperlink"/>
          </w:rPr>
          <w:t>[28]</w:t>
        </w:r>
      </w:hyperlink>
    </w:p>
    <w:p>
      <w:pPr>
        <w:pStyle w:val="BodyText"/>
        <w:rPr/>
      </w:pPr>
      <w:r>
        <w:rPr/>
        <w:t>Prancūzija</w:t>
      </w:r>
      <w:hyperlink r:id="rId30">
        <w:r>
          <w:rPr>
            <w:rStyle w:val="Hyperlink"/>
          </w:rPr>
          <w:t>[29]</w:t>
        </w:r>
      </w:hyperlink>
      <w:r>
        <w:rPr/>
        <w:t>. Prancūzijos ISU viešai prieinamose šaltinių gijose šioje tyrimo sesijoje buvo mažiau skaidriai išdėstytas negu Kanados ar Nordikų modeliai, tačiau oficiali Idele</w:t>
      </w:r>
      <w:hyperlink r:id="rId31">
        <w:r>
          <w:rPr>
            <w:rStyle w:val="Hyperlink"/>
          </w:rPr>
          <w:t>[30]</w:t>
        </w:r>
      </w:hyperlink>
      <w:r>
        <w:rPr/>
        <w:t xml:space="preserve"> nomenklatūra ir Interbull nacionalinės genetinės formos rodo, kad Holšteinų ISU yra mišrus indeksas, jungiantis produkciją ir funkcinius požymius, o apskaičiavimo logikoje svarbūs yra produkcija, somatinės ląstelės, patelių vaisingumas, konformacija ir ilgaamžiškumas. Interbull formoje Holšteinams pateikiama sudėtis apie 40 % produkcijos, 20 % SCC, 20 % female fertility, 15 % conformation ir 5 % longevity, o 2024 m. sektoriaus komunikacijoje nurodytas naujas ISU formulės atnaujinimas po single-step diegimo. Interpretacija: Prancūzijos sistema šiame pjūvyje atrodo kaip balansuota, klasikinė europinė schema – ne orientuota į ekstremalų ūgį, bet ir ne tokia tiesiogiai „svorio ekonomizuota“ kaip Kanada, Airija ar Naujoji Zelandija. (20–22) </w:t>
      </w:r>
      <w:hyperlink r:id="rId32">
        <w:r>
          <w:rPr>
            <w:rStyle w:val="Hyperlink"/>
          </w:rPr>
          <w:t>[31]</w:t>
        </w:r>
      </w:hyperlink>
    </w:p>
    <w:p>
      <w:pPr>
        <w:pStyle w:val="BodyText"/>
        <w:rPr/>
      </w:pPr>
      <w:r>
        <w:rPr/>
        <w:t>Papildomi regionai. Airija</w:t>
      </w:r>
      <w:hyperlink r:id="rId33">
        <w:r>
          <w:rPr>
            <w:rStyle w:val="Hyperlink"/>
          </w:rPr>
          <w:t>[32]</w:t>
        </w:r>
      </w:hyperlink>
      <w:r>
        <w:rPr/>
        <w:t xml:space="preserve"> ir ICBF</w:t>
      </w:r>
      <w:hyperlink r:id="rId34">
        <w:r>
          <w:rPr>
            <w:rStyle w:val="Hyperlink"/>
          </w:rPr>
          <w:t>[33]</w:t>
        </w:r>
      </w:hyperlink>
      <w:r>
        <w:rPr/>
        <w:t xml:space="preserve"> pateikia vieną kiečiausių ekonominių signalų dydžiui: Maintenance sub-index sudaro 8 % viso EBI euro vertės, o jo matas yra karvės gyvasis svoris; ICBF tiesiai sieja šį subindeksą su mažesnėmis pakeitimo ir išlaikymo sąnaudomis bei mažesniu anglies pėdsaku. Naujoji Zelandija</w:t>
      </w:r>
      <w:hyperlink r:id="rId35">
        <w:r>
          <w:rPr>
            <w:rStyle w:val="Hyperlink"/>
          </w:rPr>
          <w:t>[34]</w:t>
        </w:r>
      </w:hyperlink>
      <w:r>
        <w:rPr/>
        <w:t xml:space="preserve"> ir DairyNZ</w:t>
      </w:r>
      <w:hyperlink r:id="rId36">
        <w:r>
          <w:rPr>
            <w:rStyle w:val="Hyperlink"/>
          </w:rPr>
          <w:t>[35]</w:t>
        </w:r>
      </w:hyperlink>
      <w:r>
        <w:rPr/>
        <w:t xml:space="preserve"> dar aiškesni: Breeding Worth pavyzdyje gyvasis svoris 41 kg duoda -69 NZD indėlį, o DairyNZ ekonominių verčių puslapyje nurodo, kad didesnė liveweight veislinė vertė mažina pelną. Tai reiškia, kad ganyklinėse sistemose didesnė karvė yra ne pranašumas, o dažniau ekonominis minusas, nebent ją visiškai kompensuoja kiti požymiai. Šioje studijoje Jungtinės Karalystės ir Australijos oficialių naujausių svorių detalės nebuvo taip gerai viešai prieinamos kaip Airijos ir Naujosios Zelandijos, todėl papildomų regionų palyginime remiuosi būtent šiomis dviem stipriausiai dokumentuotomis kryptimis. (23–26) </w:t>
      </w:r>
      <w:hyperlink r:id="rId37">
        <w:r>
          <w:rPr>
            <w:rStyle w:val="Hyperlink"/>
          </w:rPr>
          <w:t>[36]</w:t>
        </w:r>
      </w:hyperlink>
      <w:bookmarkEnd w:id="5"/>
    </w:p>
    <w:p>
      <w:pPr>
        <w:pStyle w:val="Heading2"/>
        <w:rPr/>
      </w:pPr>
      <w:r>
        <w:rPr/>
        <w:t>K</w:t>
      </w:r>
      <w:bookmarkStart w:id="6" w:name="ką-rodo-sistemų-palyginimas"/>
      <w:r>
        <w:rPr/>
        <w:t>ą rodo sistemų palyginimas</w:t>
      </w:r>
    </w:p>
    <w:p>
      <w:pPr>
        <w:pStyle w:val="FirstParagraph"/>
        <w:rPr/>
      </w:pPr>
      <w:r>
        <w:rPr/>
        <w:t>Žemiau pateikiamas sutrumpintas palyginimas, kuriame sąmoningai atskiriu oficialų signalą nuo interpretacijos.</w:t>
      </w:r>
    </w:p>
    <w:tbl>
      <w:tblPr>
        <w:tblStyle w:val="Table"/>
        <w:tblW w:w="7920" w:type="dxa"/>
        <w:jc w:val="left"/>
        <w:tblInd w:w="0" w:type="dxa"/>
        <w:tblLayout w:type="fixed"/>
        <w:tblCellMar>
          <w:top w:w="0" w:type="dxa"/>
          <w:left w:w="108" w:type="dxa"/>
          <w:bottom w:w="0" w:type="dxa"/>
          <w:right w:w="108" w:type="dxa"/>
        </w:tblCellMar>
        <w:tblLook w:firstRow="1" w:noVBand="0" w:lastRow="0" w:firstColumn="0" w:lastColumn="0" w:noHBand="0" w:val="0020"/>
      </w:tblPr>
      <w:tblGrid>
        <w:gridCol w:w="2640"/>
        <w:gridCol w:w="2640"/>
        <w:gridCol w:w="2640"/>
      </w:tblGrid>
      <w:tr>
        <w:trPr>
          <w:tblHeader w:val="true"/>
        </w:trPr>
        <w:tc>
          <w:tcPr>
            <w:tcW w:w="2640" w:type="dxa"/>
            <w:tcBorders>
              <w:bottom w:val="single" w:sz="6" w:space="0" w:color="000000"/>
            </w:tcBorders>
            <w:vAlign w:val="bottom"/>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sistema</w:t>
            </w:r>
          </w:p>
        </w:tc>
        <w:tc>
          <w:tcPr>
            <w:tcW w:w="2640" w:type="dxa"/>
            <w:tcBorders>
              <w:bottom w:val="single" w:sz="6" w:space="0" w:color="000000"/>
            </w:tcBorders>
            <w:vAlign w:val="bottom"/>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oficialus signalas dydžiui</w:t>
            </w:r>
          </w:p>
        </w:tc>
        <w:tc>
          <w:tcPr>
            <w:tcW w:w="2640" w:type="dxa"/>
            <w:tcBorders>
              <w:bottom w:val="single" w:sz="6" w:space="0" w:color="000000"/>
            </w:tcBorders>
            <w:vAlign w:val="bottom"/>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kaip vertinti kryptį</w:t>
            </w:r>
          </w:p>
        </w:tc>
      </w:tr>
      <w:tr>
        <w:trPr/>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JAV</w:t>
            </w:r>
          </w:p>
        </w:tc>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Net Merit integruoja pašarų taupymą ir kūno svorį; Holstein USA 2026 HCC ir klasifikacija riboja ekstremalų ūgį (1–4)</w:t>
            </w:r>
          </w:p>
        </w:tc>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oficialus ekonominis centras juda į vidutinį dydį, bet rinkoje dar toleruojami didesnio rėmo segmentai</w:t>
            </w:r>
          </w:p>
        </w:tc>
      </w:tr>
      <w:tr>
        <w:trPr/>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Kanada</w:t>
            </w:r>
          </w:p>
        </w:tc>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LPI turi Environmental Impact, o BMR ir FE tiesiogiai monetizuoja kūno palaikymo kainą; Holšteinų LTI išėmė Dairy Strength (5–9)</w:t>
            </w:r>
          </w:p>
        </w:tc>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viena aiškiausių pasaulio sistemų vidutinio dydžio, funkcinei, ilgaamžei karvei</w:t>
            </w:r>
          </w:p>
        </w:tc>
      </w:tr>
      <w:tr>
        <w:trPr/>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Šiaurės Europa</w:t>
            </w:r>
          </w:p>
        </w:tc>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Frame svoris NTM = 0; Saved feed stiprinamas; viešai deklaruojamas medium-sized tikslas (10–13)</w:t>
            </w:r>
          </w:p>
        </w:tc>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aiškiausiai atmetama „didesnė karvė kaip tikslas“</w:t>
            </w:r>
          </w:p>
        </w:tc>
      </w:tr>
      <w:tr>
        <w:trPr/>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Nyderlandai / Belgija</w:t>
            </w:r>
          </w:p>
        </w:tc>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NVI apmoka produkciją, sveikatą, saved feed cost, ilgaamžiškumą, tešmenį ir kojas, bet ne frame tiesiogiai (14–16)</w:t>
            </w:r>
          </w:p>
        </w:tc>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stipriai funkcinė ir ekonomiškai optimizuota kryptis</w:t>
            </w:r>
          </w:p>
        </w:tc>
      </w:tr>
      <w:tr>
        <w:trPr/>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Vokietija</w:t>
            </w:r>
          </w:p>
        </w:tc>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RZG sustiprino sveikatą; RZ€ akcentuoja ekonomiką; RZFE ir RZRobot iškelia efektyvumą ir techninį tinkamumą (17–19)</w:t>
            </w:r>
          </w:p>
        </w:tc>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balansuota, bet aiškiai modernėjanti į efektyvumą, ne į stambesnį karkasą</w:t>
            </w:r>
          </w:p>
        </w:tc>
      </w:tr>
      <w:tr>
        <w:trPr/>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Prancūzija</w:t>
            </w:r>
          </w:p>
        </w:tc>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ISU išlieka balansuotas tarp produkcijos, vaisingumo, SCC, konformacijos ir ilgaamžiškumo (20–22)</w:t>
            </w:r>
          </w:p>
        </w:tc>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labiau klasikinė balansinė europinė schema, be aiškaus ekstremalaus dydžio skatinimo</w:t>
            </w:r>
          </w:p>
        </w:tc>
      </w:tr>
      <w:tr>
        <w:trPr/>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Airija / Naujoji Zelandija</w:t>
            </w:r>
          </w:p>
        </w:tc>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gyvasis svoris tiesiogiai kainuoja pinigus indeksuose (23–26)</w:t>
            </w:r>
          </w:p>
        </w:tc>
        <w:tc>
          <w:tcPr>
            <w:tcW w:w="2640" w:type="dxa"/>
            <w:tcBorders/>
          </w:tcPr>
          <w:p>
            <w:pPr>
              <w:pStyle w:val="Compact"/>
              <w:widowControl/>
              <w:spacing w:before="36" w:after="36"/>
              <w:jc w:val="left"/>
              <w:rPr>
                <w:rFonts w:ascii="Aptos" w:hAnsi="Aptos" w:eastAsia="Aptos" w:cs=""/>
                <w:kern w:val="0"/>
                <w:sz w:val="24"/>
                <w:szCs w:val="24"/>
                <w:lang w:val="en-US" w:eastAsia="en-US" w:bidi="ar-SA"/>
              </w:rPr>
            </w:pPr>
            <w:r>
              <w:rPr>
                <w:rFonts w:eastAsia="Aptos" w:cs=""/>
                <w:kern w:val="0"/>
                <w:sz w:val="24"/>
                <w:szCs w:val="24"/>
                <w:lang w:val="en-US" w:eastAsia="en-US" w:bidi="ar-SA"/>
              </w:rPr>
              <w:t>vienos stipriausių pasaulyje ekonominių sistemų prieš per didelę karvę</w:t>
            </w:r>
          </w:p>
        </w:tc>
      </w:tr>
    </w:tbl>
    <w:p>
      <w:pPr>
        <w:pStyle w:val="BodyText"/>
        <w:rPr/>
      </w:pPr>
      <w:r>
        <w:rPr/>
        <w:t xml:space="preserve">Lentelė rodo esminį dalyką: pasaulyje dar yra sistemų, kurios kultūriškai ar rinkodariškai toleruoja didesnį rėmą labiau negu kitos, bet tarp oficialių pagrindinių indeksų beveik nebeliko tokių, kurios nuosekliai skatintų didinti karvės ūgį ir masę kaip savarankišką selekcijos kryptį. Net ten, kur dydžio požymiai išlieka veislinėje kalboje, jų vertė vis dažniau tikrinama per pašaro kainą, ilgaamžiškumą, brokavimo riziką, sveikatą, melžimo technologiją ir sistemos suderinamumą. (1–26) </w:t>
      </w:r>
      <w:hyperlink r:id="rId38">
        <w:r>
          <w:rPr>
            <w:rStyle w:val="Hyperlink"/>
          </w:rPr>
          <w:t>[37]</w:t>
        </w:r>
      </w:hyperlink>
      <w:bookmarkEnd w:id="6"/>
    </w:p>
    <w:p>
      <w:pPr>
        <w:pStyle w:val="Heading2"/>
        <w:rPr/>
      </w:pPr>
      <w:r>
        <w:rPr/>
        <w:t>P</w:t>
      </w:r>
      <w:bookmarkStart w:id="7" w:name="praktinė-reikšmė-lietuvos-pieno-ūkiams"/>
      <w:r>
        <w:rPr/>
        <w:t>raktinė reikšmė Lietuvos pieno ūkiams</w:t>
      </w:r>
    </w:p>
    <w:p>
      <w:pPr>
        <w:pStyle w:val="FirstParagraph"/>
        <w:rPr/>
      </w:pPr>
      <w:r>
        <w:rPr/>
        <w:t xml:space="preserve">Lietuvos ūkiams svarbiausia išvada yra ne „rinktis mažą karvę“, o „nepermokėti už nereikalingą dydį“. Jei banda jau yra aukšta, gili ir sunki, papildomas selekcinis spaudimas į stature, frame, chest width, body depth ar dairy strength dažnai duos daugiau išlaikymo kaštų negu pelno. Tokiai bandai racionaliausia pereiti prie bulių, kurie yra neutralūs arba net šiek tiek mažinantys ūgį, bet stiprina ilgaamžiškumą, vaisingumą, nagų/kojų sveikatą, tešmens funkciją, pašarų efektyvumą ir veršiavimosi praktiškumą. Tai ypač svarbu brangstant pašarams ir darbo jėgai. (1–2, 6, 10–16, 23–26) </w:t>
      </w:r>
      <w:hyperlink r:id="rId39">
        <w:r>
          <w:rPr>
            <w:rStyle w:val="Hyperlink"/>
          </w:rPr>
          <w:t>[38]</w:t>
        </w:r>
      </w:hyperlink>
    </w:p>
    <w:p>
      <w:pPr>
        <w:pStyle w:val="BodyText"/>
        <w:rPr/>
      </w:pPr>
      <w:r>
        <w:rPr/>
        <w:t xml:space="preserve">Spermos pasirinkime tai reiškia, kad bulio vertinimą verta atlikti dviem sluoksniais. Pirmas sluoksnis – pagrindinis bendras arba ekonominis indeksas, kuris labiausiai atitinka tavo gamybos sistemą. Antras sluoksnis – korekcinis, bandos lygio. Jeigu banda per didelė, rinktis bulius, kurie nekelia stature ir neturi agresyviai teigiamų frame ar dairy strength signalų. Jeigu banda per smulki ir trūksta talpos ar robustiškumo, korekcija turi būti saikinga ir tiksli – ne per „aukštį dėl aukščio“, o per funkcionalų kūno pajėgumą. Kitaip tariant, karvės formatą reikia valdyti kaip sistemos balansą, o ne kaip parodų estetiką. (3–4, 9, 13, 15–16, 18–19) </w:t>
      </w:r>
      <w:hyperlink r:id="rId40">
        <w:r>
          <w:rPr>
            <w:rStyle w:val="Hyperlink"/>
          </w:rPr>
          <w:t>[39]</w:t>
        </w:r>
      </w:hyperlink>
    </w:p>
    <w:p>
      <w:pPr>
        <w:pStyle w:val="BodyText"/>
        <w:rPr/>
      </w:pPr>
      <w:r>
        <w:rPr/>
        <w:t xml:space="preserve">Robotizuotuose ūkiuose dydžio klausimas dar labiau persiformuoja. Čia pirmenybė turi tešmens gyliui, spenių padėčiai, tešmens pusiausvyrai, melžimo greičiui ir lokomocijai. Kanada dėl to sukūrė atskirą Milkability subindeksą, CRV realiai naudoja robotų tešmens koordinates veislinėms vertėms, o Vokietija atnaujino RZRobot. Praktinė pasekmė Lietuvos ūkiui paprasta: jei ūkis dirba ar planuoja dirbti su robotais, „teisingai sukonstruota“ vidutinio dydžio karvė yra saugesnis ilgalaikis tikslas negu labai aukšta karvė, kurią tvartas ir robotas turi „prisitaikyti aptarnauti“. (5, 16, 19) </w:t>
      </w:r>
      <w:hyperlink r:id="rId41">
        <w:r>
          <w:rPr>
            <w:rStyle w:val="Hyperlink"/>
          </w:rPr>
          <w:t>[40]</w:t>
        </w:r>
      </w:hyperlink>
    </w:p>
    <w:p>
      <w:pPr>
        <w:pStyle w:val="BodyText"/>
        <w:rPr/>
      </w:pPr>
      <w:r>
        <w:rPr/>
        <w:t xml:space="preserve">Bandos formavimo požiūriu pasaulinė kryptis reiškia, kad Lietuvoje verta sąmoningai sekti bent tris rizikas: nekontroliuojamą stature augimą, pernelyg didelę kūno masę ir „gražų, bet brangų“ eksterjerą, kuris nesiverčia į daugiau laktacijų. Jeigu ūkis per artimiausius 5–10 metų nori ekonomiškai konkurencingos bandos, bulių atrankoje reikėtų sistemingai tikrinti ne tik pieno kiekius, bet ir vaisingumą, sveikatingumą, ilgaamžiškumą, pašarų arba palaikymo efektyvumą, galūnių kokybę ir melžimo technologijai tinkamą tešmenį. Būtent šita kombinacija šiandien ir tampa „naujuoju dydžio standartu“. (1–26) </w:t>
      </w:r>
      <w:hyperlink r:id="rId42">
        <w:r>
          <w:rPr>
            <w:rStyle w:val="Hyperlink"/>
          </w:rPr>
          <w:t>[41]</w:t>
        </w:r>
      </w:hyperlink>
      <w:bookmarkEnd w:id="7"/>
    </w:p>
    <w:p>
      <w:pPr>
        <w:pStyle w:val="Heading2"/>
        <w:rPr/>
      </w:pPr>
      <w:r>
        <w:rPr/>
        <w:t>G</w:t>
      </w:r>
      <w:bookmarkStart w:id="8" w:name="galutinė-išvada"/>
      <w:r>
        <w:rPr/>
        <w:t>alutinė išvada</w:t>
      </w:r>
    </w:p>
    <w:p>
      <w:pPr>
        <w:pStyle w:val="FirstParagraph"/>
        <w:rPr/>
      </w:pPr>
      <w:r>
        <w:rPr/>
        <w:t xml:space="preserve">Pagal šiandienines pasaulines pieninių galvijų veisimo programas perspektyviausia ateities karvė yra vidutinio dydžio, o ne tiesiog didesnė. Ji turi būti labai gera komponentų gamintoja, vaisinga, sveika, su tvirtu tešmeniu ir kojomis, ilgaamžė, ekonomiškai taupi pašarams, gerai funkcionuojanti šiuolaikiniame tvarte ir, jei reikia, tinkama robotiniam melžimui. Dydis tebėra svarbus, tačiau tik kaip optimizuojamas požymis – tiek, kiek jis padeda stabiliai gaminti ir ilgai išlikti bandoje, o ne tiek, kiek jis didina ūgį ar masę savaime. (1–26) </w:t>
      </w:r>
      <w:hyperlink r:id="rId43">
        <w:r>
          <w:rPr>
            <w:rStyle w:val="Hyperlink"/>
          </w:rPr>
          <w:t>[42]</w:t>
        </w:r>
      </w:hyperlink>
    </w:p>
    <w:p>
      <w:pPr>
        <w:pStyle w:val="BodyText"/>
        <w:rPr/>
      </w:pPr>
      <w:r>
        <w:rPr/>
        <w:t xml:space="preserve">Jei reikėtų šią išvadą suformuluoti vienu sakiniu, jis skambėtų taip: pasaulinė selekcijos kryptis juda nuo „didesnės karvės“ prie „geresnės karvės vienam išleistam pašaro, darbo ir infrastruktūros vienetui“. Šiandien tikėtina laiminti karvė nėra aukščiausia – ji yra rentabiliausia per savo visą gyvenimą. (1–26) </w:t>
      </w:r>
      <w:hyperlink r:id="rId44">
        <w:r>
          <w:rPr>
            <w:rStyle w:val="Hyperlink"/>
          </w:rPr>
          <w:t>[43]</w:t>
        </w:r>
      </w:hyperlink>
      <w:bookmarkEnd w:id="8"/>
    </w:p>
    <w:p>
      <w:pPr>
        <w:pStyle w:val="Heading2"/>
        <w:rPr/>
      </w:pPr>
      <w:bookmarkStart w:id="9" w:name="penkios-svarbiausios-išvados-pieno-ūkiui"/>
      <w:r>
        <w:rPr/>
        <w:t>penkios svarbiausios išvados pieno ūkiui</w:t>
      </w:r>
    </w:p>
    <w:p>
      <w:pPr>
        <w:pStyle w:val="Normal"/>
        <w:numPr>
          <w:ilvl w:val="0"/>
          <w:numId w:val="4"/>
        </w:numPr>
        <w:rPr/>
      </w:pPr>
      <w:r>
        <w:rPr/>
        <w:t xml:space="preserve">Ekstremalus ūgis ir stambumas daugumoje modernių sistemų nebėra selekcinis pranašumas; dažniausiai tai jau yra kaštų rizika, kurią indeksai arba tiesiogiai, arba netiesiogiai mažina. (1–4, 6, 10–16, 23–26) </w:t>
      </w:r>
      <w:hyperlink r:id="rId45">
        <w:r>
          <w:rPr>
            <w:rStyle w:val="Hyperlink"/>
          </w:rPr>
          <w:t>[44]</w:t>
        </w:r>
      </w:hyperlink>
    </w:p>
    <w:p>
      <w:pPr>
        <w:pStyle w:val="Normal"/>
        <w:numPr>
          <w:ilvl w:val="0"/>
          <w:numId w:val="1"/>
        </w:numPr>
        <w:rPr/>
      </w:pPr>
      <w:r>
        <w:rPr/>
        <w:t xml:space="preserve">Kūno svoris sparčiai tampa ekonominiu genetiniu požymiu: Kanada turi BMR, Nordikai – Saved feed, CRV/NVI – saved feed cost for maintenance, Airija – Maintenance sub-index, Naujoji Zelandija – neigiamą liveweight ekonominę vertę. (6, 10–16, 23–26) </w:t>
      </w:r>
      <w:hyperlink r:id="rId46">
        <w:r>
          <w:rPr>
            <w:rStyle w:val="Hyperlink"/>
          </w:rPr>
          <w:t>[45]</w:t>
        </w:r>
      </w:hyperlink>
    </w:p>
    <w:p>
      <w:pPr>
        <w:pStyle w:val="Normal"/>
        <w:numPr>
          <w:ilvl w:val="0"/>
          <w:numId w:val="1"/>
        </w:numPr>
        <w:rPr/>
      </w:pPr>
      <w:r>
        <w:rPr/>
        <w:t xml:space="preserve">Robotizacija keičia „geros karvės“ apibrėžimą: svarbėja spenių padėtis, tešmens balansas, melžimo greitis ir lokomocija, o ne didelis rėmas. (5, 16, 19) </w:t>
      </w:r>
      <w:hyperlink r:id="rId47">
        <w:r>
          <w:rPr>
            <w:rStyle w:val="Hyperlink"/>
          </w:rPr>
          <w:t>[40]</w:t>
        </w:r>
      </w:hyperlink>
    </w:p>
    <w:p>
      <w:pPr>
        <w:pStyle w:val="Normal"/>
        <w:numPr>
          <w:ilvl w:val="0"/>
          <w:numId w:val="1"/>
        </w:numPr>
        <w:rPr/>
      </w:pPr>
      <w:r>
        <w:rPr/>
        <w:t xml:space="preserve">Lietuvos ūkiams verčiau pirkti ne „aukštą TPI tipo bulį“, o bulių, kuris dera su esama banda ir koreguoja jos silpnąsias vietas neaugindamas nereikalingos kūno masės. (1–4, 15–16, 18–19) </w:t>
      </w:r>
      <w:hyperlink r:id="rId48">
        <w:r>
          <w:rPr>
            <w:rStyle w:val="Hyperlink"/>
          </w:rPr>
          <w:t>[46]</w:t>
        </w:r>
      </w:hyperlink>
    </w:p>
    <w:p>
      <w:pPr>
        <w:pStyle w:val="Normal"/>
        <w:numPr>
          <w:ilvl w:val="0"/>
          <w:numId w:val="1"/>
        </w:numPr>
        <w:rPr/>
      </w:pPr>
      <w:r>
        <w:rPr/>
        <w:t xml:space="preserve">Ateities konkurencinis pranašumas bus ne maksimali karvės išvaizda, o maksimalus jos gyvenimo pelningumas: daugiau laktacijų, mažiau priverstinio brokavimo, geresnis vaisingumas, mažesnis pašaro poreikis kūno palaikymui ir geresnis technologinis suderinamumas. (1–26) </w:t>
      </w:r>
      <w:hyperlink r:id="rId49">
        <w:r>
          <w:rPr>
            <w:rStyle w:val="Hyperlink"/>
          </w:rPr>
          <w:t>[47]</w:t>
        </w:r>
      </w:hyperlink>
      <w:bookmarkEnd w:id="9"/>
    </w:p>
    <w:p>
      <w:pPr>
        <w:pStyle w:val="Heading2"/>
        <w:rPr/>
      </w:pPr>
      <w:r>
        <w:rPr/>
        <w:t>L</w:t>
      </w:r>
      <w:bookmarkStart w:id="10" w:name="literatūra"/>
      <w:r>
        <w:rPr/>
        <w:t>iteratūra</w:t>
      </w:r>
    </w:p>
    <w:p>
      <w:pPr>
        <w:pStyle w:val="Compact"/>
        <w:numPr>
          <w:ilvl w:val="0"/>
          <w:numId w:val="5"/>
        </w:numPr>
        <w:rPr/>
      </w:pPr>
      <w:r>
        <w:rPr/>
        <w:t xml:space="preserve">Council on Dairy Cattle Breeding. Net Merit 2025 documentation and trait-weight tables. USDA/CDCB. </w:t>
      </w:r>
      <w:hyperlink r:id="rId50">
        <w:r>
          <w:rPr>
            <w:rStyle w:val="Hyperlink"/>
          </w:rPr>
          <w:t>[48]</w:t>
        </w:r>
      </w:hyperlink>
    </w:p>
    <w:p>
      <w:pPr>
        <w:pStyle w:val="Compact"/>
        <w:numPr>
          <w:ilvl w:val="0"/>
          <w:numId w:val="1"/>
        </w:numPr>
        <w:rPr/>
      </w:pPr>
      <w:r>
        <w:rPr/>
        <w:t xml:space="preserve">Council on Dairy Cattle Breeding. Body Weight Composite documentation. USDA/CDCB. </w:t>
      </w:r>
      <w:hyperlink r:id="rId51">
        <w:r>
          <w:rPr>
            <w:rStyle w:val="Hyperlink"/>
          </w:rPr>
          <w:t>[49]</w:t>
        </w:r>
      </w:hyperlink>
    </w:p>
    <w:p>
      <w:pPr>
        <w:pStyle w:val="Compact"/>
        <w:numPr>
          <w:ilvl w:val="0"/>
          <w:numId w:val="1"/>
        </w:numPr>
        <w:rPr/>
      </w:pPr>
      <w:r>
        <w:rPr/>
        <w:t xml:space="preserve">Holstein Association USA. Genetic Advancement Committee Recommendations, approved March 2026; Holstein Conformation Composite weights. </w:t>
      </w:r>
      <w:hyperlink r:id="rId52">
        <w:r>
          <w:rPr>
            <w:rStyle w:val="Hyperlink"/>
          </w:rPr>
          <w:t>[50]</w:t>
        </w:r>
      </w:hyperlink>
    </w:p>
    <w:p>
      <w:pPr>
        <w:pStyle w:val="Compact"/>
        <w:numPr>
          <w:ilvl w:val="0"/>
          <w:numId w:val="1"/>
        </w:numPr>
        <w:rPr/>
      </w:pPr>
      <w:r>
        <w:rPr/>
        <w:t xml:space="preserve">Holstein Association USA. Conformation Advisory Committee Recommendations, February 2026; sliding stature penalty and 60-inch ideal. </w:t>
      </w:r>
      <w:hyperlink r:id="rId53">
        <w:r>
          <w:rPr>
            <w:rStyle w:val="Hyperlink"/>
          </w:rPr>
          <w:t>[9]</w:t>
        </w:r>
      </w:hyperlink>
    </w:p>
    <w:p>
      <w:pPr>
        <w:pStyle w:val="Compact"/>
        <w:numPr>
          <w:ilvl w:val="0"/>
          <w:numId w:val="1"/>
        </w:numPr>
        <w:rPr/>
      </w:pPr>
      <w:r>
        <w:rPr/>
        <w:t xml:space="preserve">Lactanet. The Modernized LPI – Launching April 2025. </w:t>
      </w:r>
      <w:hyperlink r:id="rId54">
        <w:r>
          <w:rPr>
            <w:rStyle w:val="Hyperlink"/>
          </w:rPr>
          <w:t>[51]</w:t>
        </w:r>
      </w:hyperlink>
    </w:p>
    <w:p>
      <w:pPr>
        <w:pStyle w:val="Compact"/>
        <w:numPr>
          <w:ilvl w:val="0"/>
          <w:numId w:val="1"/>
        </w:numPr>
        <w:rPr/>
      </w:pPr>
      <w:r>
        <w:rPr/>
        <w:t xml:space="preserve">Lactanet. Genetic Evaluations for Body Maintenance Requirements. 2023. </w:t>
      </w:r>
      <w:hyperlink r:id="rId55">
        <w:r>
          <w:rPr>
            <w:rStyle w:val="Hyperlink"/>
          </w:rPr>
          <w:t>[13]</w:t>
        </w:r>
      </w:hyperlink>
    </w:p>
    <w:p>
      <w:pPr>
        <w:pStyle w:val="Compact"/>
        <w:numPr>
          <w:ilvl w:val="0"/>
          <w:numId w:val="1"/>
        </w:numPr>
        <w:rPr/>
      </w:pPr>
      <w:r>
        <w:rPr/>
        <w:t xml:space="preserve">Lactanet. Improved Selection for Feed Efficiency. 2022. </w:t>
      </w:r>
      <w:hyperlink r:id="rId56">
        <w:r>
          <w:rPr>
            <w:rStyle w:val="Hyperlink"/>
          </w:rPr>
          <w:t>[52]</w:t>
        </w:r>
      </w:hyperlink>
    </w:p>
    <w:p>
      <w:pPr>
        <w:pStyle w:val="Compact"/>
        <w:numPr>
          <w:ilvl w:val="0"/>
          <w:numId w:val="1"/>
        </w:numPr>
        <w:rPr/>
      </w:pPr>
      <w:r>
        <w:rPr/>
        <w:t xml:space="preserve">Lactanet. A New Look and Focus on Feed Efficiency. 2022. </w:t>
      </w:r>
      <w:hyperlink r:id="rId57">
        <w:r>
          <w:rPr>
            <w:rStyle w:val="Hyperlink"/>
          </w:rPr>
          <w:t>[53]</w:t>
        </w:r>
      </w:hyperlink>
    </w:p>
    <w:p>
      <w:pPr>
        <w:pStyle w:val="Compact"/>
        <w:numPr>
          <w:ilvl w:val="0"/>
          <w:numId w:val="1"/>
        </w:numPr>
        <w:rPr/>
      </w:pPr>
      <w:r>
        <w:rPr/>
        <w:t xml:space="preserve">Lactanet. Finalizing the Modernized LPI Formula Starting April 2025; open-industry presentation and progress reporting. </w:t>
      </w:r>
      <w:hyperlink r:id="rId58">
        <w:r>
          <w:rPr>
            <w:rStyle w:val="Hyperlink"/>
          </w:rPr>
          <w:t>[54]</w:t>
        </w:r>
      </w:hyperlink>
    </w:p>
    <w:p>
      <w:pPr>
        <w:pStyle w:val="Compact"/>
        <w:numPr>
          <w:ilvl w:val="0"/>
          <w:numId w:val="1"/>
        </w:numPr>
        <w:rPr/>
      </w:pPr>
      <w:r>
        <w:rPr/>
        <w:t xml:space="preserve">Nordic Cattle Genetic Evaluation. NTM – weight factors, 4 February 2025. </w:t>
      </w:r>
      <w:hyperlink r:id="rId59">
        <w:r>
          <w:rPr>
            <w:rStyle w:val="Hyperlink"/>
          </w:rPr>
          <w:t>[55]</w:t>
        </w:r>
      </w:hyperlink>
    </w:p>
    <w:p>
      <w:pPr>
        <w:pStyle w:val="Compact"/>
        <w:numPr>
          <w:ilvl w:val="0"/>
          <w:numId w:val="1"/>
        </w:numPr>
        <w:rPr/>
      </w:pPr>
      <w:r>
        <w:rPr/>
        <w:t xml:space="preserve">Nordic Cattle Genetic Evaluation. Correlations between NTM and sub-indices, February 2025. </w:t>
      </w:r>
      <w:hyperlink r:id="rId60">
        <w:r>
          <w:rPr>
            <w:rStyle w:val="Hyperlink"/>
          </w:rPr>
          <w:t>[56]</w:t>
        </w:r>
      </w:hyperlink>
    </w:p>
    <w:p>
      <w:pPr>
        <w:pStyle w:val="Compact"/>
        <w:numPr>
          <w:ilvl w:val="0"/>
          <w:numId w:val="1"/>
        </w:numPr>
        <w:rPr/>
      </w:pPr>
      <w:r>
        <w:rPr/>
        <w:t xml:space="preserve">Nordic Cattle Genetic Evaluation. Saved feed. </w:t>
      </w:r>
      <w:hyperlink r:id="rId61">
        <w:r>
          <w:rPr>
            <w:rStyle w:val="Hyperlink"/>
          </w:rPr>
          <w:t>[57]</w:t>
        </w:r>
      </w:hyperlink>
    </w:p>
    <w:p>
      <w:pPr>
        <w:pStyle w:val="Compact"/>
        <w:numPr>
          <w:ilvl w:val="0"/>
          <w:numId w:val="1"/>
        </w:numPr>
        <w:rPr/>
      </w:pPr>
      <w:r>
        <w:rPr/>
        <w:t xml:space="preserve">VikingGenetics. Feed efficiency: Get more milk from less feed. </w:t>
      </w:r>
      <w:hyperlink r:id="rId62">
        <w:r>
          <w:rPr>
            <w:rStyle w:val="Hyperlink"/>
          </w:rPr>
          <w:t>[58]</w:t>
        </w:r>
      </w:hyperlink>
    </w:p>
    <w:p>
      <w:pPr>
        <w:pStyle w:val="Compact"/>
        <w:numPr>
          <w:ilvl w:val="0"/>
          <w:numId w:val="1"/>
        </w:numPr>
        <w:rPr/>
      </w:pPr>
      <w:r>
        <w:rPr/>
        <w:t xml:space="preserve">CRV. Breeding values explained. </w:t>
      </w:r>
      <w:hyperlink r:id="rId63">
        <w:r>
          <w:rPr>
            <w:rStyle w:val="Hyperlink"/>
          </w:rPr>
          <w:t>[59]</w:t>
        </w:r>
      </w:hyperlink>
    </w:p>
    <w:p>
      <w:pPr>
        <w:pStyle w:val="Compact"/>
        <w:numPr>
          <w:ilvl w:val="0"/>
          <w:numId w:val="1"/>
        </w:numPr>
        <w:rPr/>
      </w:pPr>
      <w:r>
        <w:rPr/>
        <w:t xml:space="preserve">Coöperatie CRV. NVI, E-20 statistical indicators, April 2023. </w:t>
      </w:r>
      <w:hyperlink r:id="rId64">
        <w:r>
          <w:rPr>
            <w:rStyle w:val="Hyperlink"/>
          </w:rPr>
          <w:t>[23]</w:t>
        </w:r>
      </w:hyperlink>
    </w:p>
    <w:p>
      <w:pPr>
        <w:pStyle w:val="Compact"/>
        <w:numPr>
          <w:ilvl w:val="0"/>
          <w:numId w:val="1"/>
        </w:numPr>
        <w:rPr/>
      </w:pPr>
      <w:r>
        <w:rPr/>
        <w:t xml:space="preserve">CRV. Milking robot data making inroads in breeding value estimation. 2023. </w:t>
      </w:r>
      <w:hyperlink r:id="rId65">
        <w:r>
          <w:rPr>
            <w:rStyle w:val="Hyperlink"/>
          </w:rPr>
          <w:t>[24]</w:t>
        </w:r>
      </w:hyperlink>
    </w:p>
    <w:p>
      <w:pPr>
        <w:pStyle w:val="Compact"/>
        <w:numPr>
          <w:ilvl w:val="0"/>
          <w:numId w:val="1"/>
        </w:numPr>
        <w:rPr/>
      </w:pPr>
      <w:r>
        <w:rPr/>
        <w:t xml:space="preserve">vit. Revised total merit index RZG in April 2021; vit news archive. </w:t>
      </w:r>
      <w:hyperlink r:id="rId66">
        <w:r>
          <w:rPr>
            <w:rStyle w:val="Hyperlink"/>
          </w:rPr>
          <w:t>[60]</w:t>
        </w:r>
      </w:hyperlink>
    </w:p>
    <w:p>
      <w:pPr>
        <w:pStyle w:val="Compact"/>
        <w:numPr>
          <w:ilvl w:val="0"/>
          <w:numId w:val="1"/>
        </w:numPr>
        <w:rPr/>
      </w:pPr>
      <w:r>
        <w:rPr/>
        <w:t xml:space="preserve">vit. Results from April 2024 evaluation run for dairy breeds published; first publication of RZFeedEfficiency. </w:t>
      </w:r>
      <w:hyperlink r:id="rId67">
        <w:r>
          <w:rPr>
            <w:rStyle w:val="Hyperlink"/>
          </w:rPr>
          <w:t>[61]</w:t>
        </w:r>
      </w:hyperlink>
    </w:p>
    <w:p>
      <w:pPr>
        <w:pStyle w:val="Compact"/>
        <w:numPr>
          <w:ilvl w:val="0"/>
          <w:numId w:val="1"/>
        </w:numPr>
        <w:rPr/>
      </w:pPr>
      <w:r>
        <w:rPr/>
        <w:t xml:space="preserve">Abdalla E. ir kt. Breeding for feed efficiency in German Holsteins: the new RZFeedEfficiency. Interbull Journal, 2024. </w:t>
      </w:r>
      <w:hyperlink r:id="rId68">
        <w:r>
          <w:rPr>
            <w:rStyle w:val="Hyperlink"/>
          </w:rPr>
          <w:t>[62]</w:t>
        </w:r>
      </w:hyperlink>
    </w:p>
    <w:p>
      <w:pPr>
        <w:pStyle w:val="Compact"/>
        <w:numPr>
          <w:ilvl w:val="0"/>
          <w:numId w:val="1"/>
        </w:numPr>
        <w:rPr/>
      </w:pPr>
      <w:r>
        <w:rPr/>
        <w:t xml:space="preserve">vit / sector documentation. RZ€ as an additional economic total merit index from 2020. </w:t>
      </w:r>
      <w:hyperlink r:id="rId69">
        <w:r>
          <w:rPr>
            <w:rStyle w:val="Hyperlink"/>
          </w:rPr>
          <w:t>[63]</w:t>
        </w:r>
      </w:hyperlink>
    </w:p>
    <w:p>
      <w:pPr>
        <w:pStyle w:val="Compact"/>
        <w:numPr>
          <w:ilvl w:val="0"/>
          <w:numId w:val="1"/>
        </w:numPr>
        <w:rPr/>
      </w:pPr>
      <w:r>
        <w:rPr/>
        <w:t xml:space="preserve">Institut de l’Élevage. Genetic Evaluation nomenclature and ISU references. </w:t>
      </w:r>
      <w:hyperlink r:id="rId70">
        <w:r>
          <w:rPr>
            <w:rStyle w:val="Hyperlink"/>
          </w:rPr>
          <w:t>[64]</w:t>
        </w:r>
      </w:hyperlink>
    </w:p>
    <w:p>
      <w:pPr>
        <w:pStyle w:val="Compact"/>
        <w:numPr>
          <w:ilvl w:val="0"/>
          <w:numId w:val="1"/>
        </w:numPr>
        <w:rPr/>
      </w:pPr>
      <w:r>
        <w:rPr/>
        <w:t xml:space="preserve">Interbull national genetic-evaluation form for France; French Holstein ISU composition. </w:t>
      </w:r>
      <w:hyperlink r:id="rId71">
        <w:r>
          <w:rPr>
            <w:rStyle w:val="Hyperlink"/>
          </w:rPr>
          <w:t>[65]</w:t>
        </w:r>
      </w:hyperlink>
    </w:p>
    <w:p>
      <w:pPr>
        <w:pStyle w:val="Compact"/>
        <w:numPr>
          <w:ilvl w:val="0"/>
          <w:numId w:val="1"/>
        </w:numPr>
        <w:rPr/>
      </w:pPr>
      <w:r>
        <w:rPr/>
        <w:t xml:space="preserve">Synetics. Proof run April 2024 index communication; new ISU formula for Holstein in April 2024. </w:t>
      </w:r>
      <w:hyperlink r:id="rId72">
        <w:r>
          <w:rPr>
            <w:rStyle w:val="Hyperlink"/>
          </w:rPr>
          <w:t>[66]</w:t>
        </w:r>
      </w:hyperlink>
    </w:p>
    <w:p>
      <w:pPr>
        <w:pStyle w:val="Compact"/>
        <w:numPr>
          <w:ilvl w:val="0"/>
          <w:numId w:val="1"/>
        </w:numPr>
        <w:rPr/>
      </w:pPr>
      <w:r>
        <w:rPr/>
        <w:t xml:space="preserve">Irish Cattle Breeding Federation. Economic Breeding Index (EBI). </w:t>
      </w:r>
      <w:hyperlink r:id="rId73">
        <w:r>
          <w:rPr>
            <w:rStyle w:val="Hyperlink"/>
          </w:rPr>
          <w:t>[67]</w:t>
        </w:r>
      </w:hyperlink>
    </w:p>
    <w:p>
      <w:pPr>
        <w:pStyle w:val="Compact"/>
        <w:numPr>
          <w:ilvl w:val="0"/>
          <w:numId w:val="1"/>
        </w:numPr>
        <w:rPr/>
      </w:pPr>
      <w:r>
        <w:rPr/>
        <w:t xml:space="preserve">Irish Cattle Breeding Federation. What are the benefits of weighing dairy females? 2025. </w:t>
      </w:r>
      <w:hyperlink r:id="rId74">
        <w:r>
          <w:rPr>
            <w:rStyle w:val="Hyperlink"/>
          </w:rPr>
          <w:t>[68]</w:t>
        </w:r>
      </w:hyperlink>
    </w:p>
    <w:p>
      <w:pPr>
        <w:pStyle w:val="Compact"/>
        <w:numPr>
          <w:ilvl w:val="0"/>
          <w:numId w:val="1"/>
        </w:numPr>
        <w:rPr/>
      </w:pPr>
      <w:r>
        <w:rPr/>
        <w:t xml:space="preserve">DairyNZ. Breeding Worth. </w:t>
      </w:r>
      <w:hyperlink r:id="rId75">
        <w:r>
          <w:rPr>
            <w:rStyle w:val="Hyperlink"/>
          </w:rPr>
          <w:t>[69]</w:t>
        </w:r>
      </w:hyperlink>
    </w:p>
    <w:p>
      <w:pPr>
        <w:pStyle w:val="Compact"/>
        <w:numPr>
          <w:ilvl w:val="0"/>
          <w:numId w:val="1"/>
        </w:numPr>
        <w:rPr/>
      </w:pPr>
      <w:r>
        <w:rPr/>
        <w:t xml:space="preserve">DairyNZ. Economic Values. </w:t>
      </w:r>
      <w:hyperlink r:id="rId76">
        <w:r>
          <w:rPr>
            <w:rStyle w:val="Hyperlink"/>
          </w:rPr>
          <w:t>[70]</w:t>
        </w:r>
      </w:hyperlink>
    </w:p>
    <w:p>
      <w:pPr>
        <w:pStyle w:val="FirstParagraph"/>
        <w:rPr/>
      </w:pPr>
      <w:bookmarkStart w:id="11" w:name="content"/>
      <w:bookmarkStart w:id="12" w:name="X6086c3e2b05330082f7ef5eaffa647d157b75a4"/>
      <w:r>
        <w:rPr/>
        <w:t>Pasitikėjimo lygis: aukštas dėl stiprios oficialių šaltinių bazės JAV, Kanados, Šiaurės Europos, Nyderlandų/Flandrijos, Airijos ir Naujosios Zelandijos dalyse; vidutinis Prancūzijos ir Vokietijos kai kurių naujausių viešų formulės detalių palyginime, nes dalis oficialių 2024–2026 svorių viešai buvo prieinami tik fragmentiškai.</w:t>
      </w:r>
      <w:bookmarkEnd w:id="11"/>
      <w:bookmarkEnd w:id="12"/>
      <w:bookmarkEnd w:id="10"/>
    </w:p>
    <w:p>
      <w:pPr>
        <w:pStyle w:val="Normal"/>
        <w:rPr/>
      </w:pPr>
      <w:r>
        <w:rPr/>
        <mc:AlternateContent>
          <mc:Choice Requires="wps">
            <w:drawing>
              <wp:inline distT="0" distB="0" distL="0" distR="0">
                <wp:extent cx="5943600"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p>
    <w:p>
      <w:pPr>
        <w:pStyle w:val="FirstParagraph"/>
        <w:rPr/>
      </w:pPr>
      <w:hyperlink r:id="rId77">
        <w:bookmarkStart w:id="13" w:name="citations"/>
        <w:r>
          <w:rPr>
            <w:rStyle w:val="Hyperlink"/>
          </w:rPr>
          <w:t>[1]</w:t>
        </w:r>
      </w:hyperlink>
      <w:r>
        <w:rPr/>
        <w:t xml:space="preserve"> </w:t>
      </w:r>
      <w:hyperlink r:id="rId78">
        <w:r>
          <w:rPr>
            <w:rStyle w:val="Hyperlink"/>
          </w:rPr>
          <w:t>[4]</w:t>
        </w:r>
      </w:hyperlink>
      <w:r>
        <w:rPr/>
        <w:t xml:space="preserve"> </w:t>
      </w:r>
      <w:hyperlink r:id="rId79">
        <w:r>
          <w:rPr>
            <w:rStyle w:val="Hyperlink"/>
          </w:rPr>
          <w:t>[7]</w:t>
        </w:r>
      </w:hyperlink>
      <w:r>
        <w:rPr/>
        <w:t xml:space="preserve"> </w:t>
      </w:r>
      <w:hyperlink r:id="rId80">
        <w:r>
          <w:rPr>
            <w:rStyle w:val="Hyperlink"/>
          </w:rPr>
          <w:t>[26]</w:t>
        </w:r>
      </w:hyperlink>
      <w:r>
        <w:rPr/>
        <w:t xml:space="preserve"> </w:t>
      </w:r>
      <w:hyperlink r:id="rId81">
        <w:r>
          <w:rPr>
            <w:rStyle w:val="Hyperlink"/>
          </w:rPr>
          <w:t>[29]</w:t>
        </w:r>
      </w:hyperlink>
      <w:r>
        <w:rPr/>
        <w:t xml:space="preserve"> </w:t>
      </w:r>
      <w:hyperlink r:id="rId82">
        <w:r>
          <w:rPr>
            <w:rStyle w:val="Hyperlink"/>
          </w:rPr>
          <w:t>[37]</w:t>
        </w:r>
      </w:hyperlink>
      <w:r>
        <w:rPr/>
        <w:t xml:space="preserve"> </w:t>
      </w:r>
      <w:hyperlink r:id="rId83">
        <w:r>
          <w:rPr>
            <w:rStyle w:val="Hyperlink"/>
          </w:rPr>
          <w:t>[41]</w:t>
        </w:r>
      </w:hyperlink>
      <w:r>
        <w:rPr/>
        <w:t xml:space="preserve"> </w:t>
      </w:r>
      <w:hyperlink r:id="rId84">
        <w:r>
          <w:rPr>
            <w:rStyle w:val="Hyperlink"/>
          </w:rPr>
          <w:t>[42]</w:t>
        </w:r>
      </w:hyperlink>
      <w:r>
        <w:rPr/>
        <w:t xml:space="preserve"> </w:t>
      </w:r>
      <w:hyperlink r:id="rId85">
        <w:r>
          <w:rPr>
            <w:rStyle w:val="Hyperlink"/>
          </w:rPr>
          <w:t>[47]</w:t>
        </w:r>
      </w:hyperlink>
      <w:r>
        <w:rPr/>
        <w:t xml:space="preserve"> </w:t>
      </w:r>
      <w:hyperlink r:id="rId86">
        <w:r>
          <w:rPr>
            <w:rStyle w:val="Hyperlink"/>
          </w:rPr>
          <w:t>[48]</w:t>
        </w:r>
      </w:hyperlink>
      <w:r>
        <w:rPr/>
        <w:t xml:space="preserve"> uscdcb.com</w:t>
      </w:r>
    </w:p>
    <w:p>
      <w:pPr>
        <w:pStyle w:val="BodyText"/>
        <w:rPr/>
      </w:pPr>
      <w:hyperlink r:id="rId87">
        <w:r>
          <w:rPr>
            <w:rStyle w:val="Hyperlink"/>
          </w:rPr>
          <w:t>https://uscdcb.com/wp-content/uploads/2026/02/nmcalc-2025_ARR-NM9_without-type_composites_updatedFeb2026.pdf</w:t>
        </w:r>
      </w:hyperlink>
    </w:p>
    <w:p>
      <w:pPr>
        <w:pStyle w:val="BodyText"/>
        <w:rPr/>
      </w:pPr>
      <w:hyperlink r:id="rId88">
        <w:r>
          <w:rPr>
            <w:rStyle w:val="Hyperlink"/>
          </w:rPr>
          <w:t>[2]</w:t>
        </w:r>
      </w:hyperlink>
      <w:r>
        <w:rPr/>
        <w:t xml:space="preserve"> </w:t>
      </w:r>
      <w:hyperlink r:id="rId89">
        <w:r>
          <w:rPr>
            <w:rStyle w:val="Hyperlink"/>
          </w:rPr>
          <w:t>[19]</w:t>
        </w:r>
      </w:hyperlink>
      <w:r>
        <w:rPr/>
        <w:t xml:space="preserve"> </w:t>
      </w:r>
      <w:hyperlink r:id="rId90">
        <w:r>
          <w:rPr>
            <w:rStyle w:val="Hyperlink"/>
          </w:rPr>
          <w:t>[25]</w:t>
        </w:r>
      </w:hyperlink>
      <w:r>
        <w:rPr/>
        <w:t xml:space="preserve"> </w:t>
      </w:r>
      <w:hyperlink r:id="rId91">
        <w:r>
          <w:rPr>
            <w:rStyle w:val="Hyperlink"/>
          </w:rPr>
          <w:t>[38]</w:t>
        </w:r>
      </w:hyperlink>
      <w:r>
        <w:rPr/>
        <w:t xml:space="preserve"> </w:t>
      </w:r>
      <w:hyperlink r:id="rId92">
        <w:r>
          <w:rPr>
            <w:rStyle w:val="Hyperlink"/>
          </w:rPr>
          <w:t>[49]</w:t>
        </w:r>
      </w:hyperlink>
      <w:r>
        <w:rPr/>
        <w:t xml:space="preserve"> uscdcb.com</w:t>
      </w:r>
    </w:p>
    <w:p>
      <w:pPr>
        <w:pStyle w:val="BodyText"/>
        <w:rPr/>
      </w:pPr>
      <w:hyperlink r:id="rId93">
        <w:r>
          <w:rPr>
            <w:rStyle w:val="Hyperlink"/>
          </w:rPr>
          <w:t>https://uscdcb.com/wp-content/uploads/2025/02/Type-composites_Net-merit_Feb2025_updated.pdf</w:t>
        </w:r>
      </w:hyperlink>
    </w:p>
    <w:p>
      <w:pPr>
        <w:pStyle w:val="BodyText"/>
        <w:rPr/>
      </w:pPr>
      <w:hyperlink r:id="rId94">
        <w:r>
          <w:rPr>
            <w:rStyle w:val="Hyperlink"/>
          </w:rPr>
          <w:t>[3]</w:t>
        </w:r>
      </w:hyperlink>
      <w:r>
        <w:rPr/>
        <w:t xml:space="preserve"> </w:t>
      </w:r>
      <w:hyperlink r:id="rId95">
        <w:r>
          <w:rPr>
            <w:rStyle w:val="Hyperlink"/>
          </w:rPr>
          <w:t>[9]</w:t>
        </w:r>
      </w:hyperlink>
      <w:r>
        <w:rPr/>
        <w:t xml:space="preserve"> </w:t>
      </w:r>
      <w:hyperlink r:id="rId96">
        <w:r>
          <w:rPr>
            <w:rStyle w:val="Hyperlink"/>
          </w:rPr>
          <w:t>[10]</w:t>
        </w:r>
      </w:hyperlink>
      <w:r>
        <w:rPr/>
        <w:t xml:space="preserve"> </w:t>
      </w:r>
      <w:hyperlink r:id="rId97">
        <w:r>
          <w:rPr>
            <w:rStyle w:val="Hyperlink"/>
          </w:rPr>
          <w:t>[16]</w:t>
        </w:r>
      </w:hyperlink>
      <w:r>
        <w:rPr/>
        <w:t xml:space="preserve"> </w:t>
      </w:r>
      <w:hyperlink r:id="rId98">
        <w:r>
          <w:rPr>
            <w:rStyle w:val="Hyperlink"/>
          </w:rPr>
          <w:t>[32]</w:t>
        </w:r>
      </w:hyperlink>
      <w:r>
        <w:rPr/>
        <w:t xml:space="preserve"> </w:t>
      </w:r>
      <w:hyperlink r:id="rId99">
        <w:r>
          <w:rPr>
            <w:rStyle w:val="Hyperlink"/>
          </w:rPr>
          <w:t>[39]</w:t>
        </w:r>
      </w:hyperlink>
      <w:r>
        <w:rPr/>
        <w:t xml:space="preserve"> </w:t>
      </w:r>
      <w:hyperlink r:id="rId100">
        <w:r>
          <w:rPr>
            <w:rStyle w:val="Hyperlink"/>
          </w:rPr>
          <w:t>[44]</w:t>
        </w:r>
      </w:hyperlink>
      <w:r>
        <w:rPr/>
        <w:t xml:space="preserve"> </w:t>
      </w:r>
      <w:hyperlink r:id="rId101">
        <w:r>
          <w:rPr>
            <w:rStyle w:val="Hyperlink"/>
          </w:rPr>
          <w:t>[46]</w:t>
        </w:r>
      </w:hyperlink>
      <w:r>
        <w:rPr/>
        <w:t xml:space="preserve"> </w:t>
      </w:r>
      <w:hyperlink r:id="rId102">
        <w:r>
          <w:rPr>
            <w:rStyle w:val="Hyperlink"/>
          </w:rPr>
          <w:t>[50]</w:t>
        </w:r>
      </w:hyperlink>
      <w:r>
        <w:rPr/>
        <w:t xml:space="preserve"> https://www.holsteinusa.com/pdf/committee/Recommendations/Conformation%20Advisory%20Committee%20Recommendations_February%202026.pdf</w:t>
      </w:r>
    </w:p>
    <w:p>
      <w:pPr>
        <w:pStyle w:val="BodyText"/>
        <w:rPr/>
      </w:pPr>
      <w:hyperlink r:id="rId103">
        <w:r>
          <w:rPr>
            <w:rStyle w:val="Hyperlink"/>
          </w:rPr>
          <w:t>https://www.holsteinusa.com/pdf/committee/Recommendations/Conformation%20Advisory%20Committee%20Recommendations_February%202026.pdf</w:t>
        </w:r>
      </w:hyperlink>
    </w:p>
    <w:p>
      <w:pPr>
        <w:pStyle w:val="BodyText"/>
        <w:rPr/>
      </w:pPr>
      <w:hyperlink r:id="rId104">
        <w:r>
          <w:rPr>
            <w:rStyle w:val="Hyperlink"/>
          </w:rPr>
          <w:t>[5]</w:t>
        </w:r>
      </w:hyperlink>
      <w:r>
        <w:rPr/>
        <w:t xml:space="preserve"> </w:t>
      </w:r>
      <w:hyperlink r:id="rId105">
        <w:r>
          <w:rPr>
            <w:rStyle w:val="Hyperlink"/>
          </w:rPr>
          <w:t>[6]</w:t>
        </w:r>
      </w:hyperlink>
      <w:r>
        <w:rPr/>
        <w:t xml:space="preserve"> </w:t>
      </w:r>
      <w:hyperlink r:id="rId106">
        <w:r>
          <w:rPr>
            <w:rStyle w:val="Hyperlink"/>
          </w:rPr>
          <w:t>[11]</w:t>
        </w:r>
      </w:hyperlink>
      <w:r>
        <w:rPr/>
        <w:t xml:space="preserve"> </w:t>
      </w:r>
      <w:hyperlink r:id="rId107">
        <w:r>
          <w:rPr>
            <w:rStyle w:val="Hyperlink"/>
          </w:rPr>
          <w:t>[27]</w:t>
        </w:r>
      </w:hyperlink>
      <w:r>
        <w:rPr/>
        <w:t xml:space="preserve"> </w:t>
      </w:r>
      <w:hyperlink r:id="rId108">
        <w:r>
          <w:rPr>
            <w:rStyle w:val="Hyperlink"/>
          </w:rPr>
          <w:t>[60]</w:t>
        </w:r>
      </w:hyperlink>
      <w:r>
        <w:rPr/>
        <w:t xml:space="preserve"> </w:t>
      </w:r>
      <w:hyperlink r:id="rId109">
        <w:r>
          <w:rPr>
            <w:rStyle w:val="Hyperlink"/>
          </w:rPr>
          <w:t>[63]</w:t>
        </w:r>
      </w:hyperlink>
      <w:r>
        <w:rPr/>
        <w:t xml:space="preserve"> https://www.vit.de/en/news</w:t>
      </w:r>
    </w:p>
    <w:p>
      <w:pPr>
        <w:pStyle w:val="BodyText"/>
        <w:rPr/>
      </w:pPr>
      <w:hyperlink r:id="rId110">
        <w:r>
          <w:rPr>
            <w:rStyle w:val="Hyperlink"/>
          </w:rPr>
          <w:t>https://www.vit.de/en/news</w:t>
        </w:r>
      </w:hyperlink>
    </w:p>
    <w:p>
      <w:pPr>
        <w:pStyle w:val="BodyText"/>
        <w:rPr/>
      </w:pPr>
      <w:hyperlink r:id="rId111">
        <w:r>
          <w:rPr>
            <w:rStyle w:val="Hyperlink"/>
          </w:rPr>
          <w:t>[8]</w:t>
        </w:r>
      </w:hyperlink>
      <w:r>
        <w:rPr/>
        <w:t xml:space="preserve"> </w:t>
      </w:r>
      <w:hyperlink r:id="rId112">
        <w:r>
          <w:rPr>
            <w:rStyle w:val="Hyperlink"/>
          </w:rPr>
          <w:t>[13]</w:t>
        </w:r>
      </w:hyperlink>
      <w:r>
        <w:rPr/>
        <w:t xml:space="preserve"> </w:t>
      </w:r>
      <w:hyperlink r:id="rId113">
        <w:r>
          <w:rPr>
            <w:rStyle w:val="Hyperlink"/>
          </w:rPr>
          <w:t>[21]</w:t>
        </w:r>
      </w:hyperlink>
      <w:r>
        <w:rPr/>
        <w:t xml:space="preserve"> </w:t>
      </w:r>
      <w:hyperlink r:id="rId114">
        <w:r>
          <w:rPr>
            <w:rStyle w:val="Hyperlink"/>
          </w:rPr>
          <w:t>[43]</w:t>
        </w:r>
      </w:hyperlink>
      <w:r>
        <w:rPr/>
        <w:t xml:space="preserve"> </w:t>
      </w:r>
      <w:hyperlink r:id="rId115">
        <w:r>
          <w:rPr>
            <w:rStyle w:val="Hyperlink"/>
          </w:rPr>
          <w:t>[45]</w:t>
        </w:r>
      </w:hyperlink>
      <w:r>
        <w:rPr/>
        <w:t xml:space="preserve"> https://lactanet.ca/en/genetic-body-maintenance-requirements/</w:t>
      </w:r>
    </w:p>
    <w:p>
      <w:pPr>
        <w:pStyle w:val="BodyText"/>
        <w:rPr/>
      </w:pPr>
      <w:hyperlink r:id="rId116">
        <w:r>
          <w:rPr>
            <w:rStyle w:val="Hyperlink"/>
          </w:rPr>
          <w:t>https://lactanet.ca/en/genetic-body-maintenance-requirements/</w:t>
        </w:r>
      </w:hyperlink>
    </w:p>
    <w:p>
      <w:pPr>
        <w:pStyle w:val="BodyText"/>
        <w:rPr/>
      </w:pPr>
      <w:hyperlink r:id="rId117">
        <w:r>
          <w:rPr>
            <w:rStyle w:val="Hyperlink"/>
          </w:rPr>
          <w:t>[12]</w:t>
        </w:r>
      </w:hyperlink>
      <w:r>
        <w:rPr/>
        <w:t xml:space="preserve"> </w:t>
      </w:r>
      <w:hyperlink r:id="rId118">
        <w:r>
          <w:rPr>
            <w:rStyle w:val="Hyperlink"/>
          </w:rPr>
          <w:t>[40]</w:t>
        </w:r>
      </w:hyperlink>
      <w:r>
        <w:rPr/>
        <w:t xml:space="preserve"> </w:t>
      </w:r>
      <w:hyperlink r:id="rId119">
        <w:r>
          <w:rPr>
            <w:rStyle w:val="Hyperlink"/>
          </w:rPr>
          <w:t>[51]</w:t>
        </w:r>
      </w:hyperlink>
      <w:r>
        <w:rPr/>
        <w:t xml:space="preserve"> https://lactanet.ca/en/the-modernized-lpi-launching-april-2025/</w:t>
      </w:r>
    </w:p>
    <w:p>
      <w:pPr>
        <w:pStyle w:val="BodyText"/>
        <w:rPr/>
      </w:pPr>
      <w:hyperlink r:id="rId120">
        <w:r>
          <w:rPr>
            <w:rStyle w:val="Hyperlink"/>
          </w:rPr>
          <w:t>https://lactanet.ca/en/the-modernized-lpi-launching-april-2025/</w:t>
        </w:r>
      </w:hyperlink>
    </w:p>
    <w:p>
      <w:pPr>
        <w:pStyle w:val="BodyText"/>
        <w:rPr/>
      </w:pPr>
      <w:hyperlink r:id="rId121">
        <w:r>
          <w:rPr>
            <w:rStyle w:val="Hyperlink"/>
          </w:rPr>
          <w:t>[14]</w:t>
        </w:r>
      </w:hyperlink>
      <w:r>
        <w:rPr/>
        <w:t xml:space="preserve"> </w:t>
      </w:r>
      <w:hyperlink r:id="rId122">
        <w:r>
          <w:rPr>
            <w:rStyle w:val="Hyperlink"/>
          </w:rPr>
          <w:t>[54]</w:t>
        </w:r>
      </w:hyperlink>
      <w:r>
        <w:rPr/>
        <w:t xml:space="preserve"> https://lactanet.ca/wp-content/uploads/2024/10/4_Finalizing-the-Modernized-LPI-Formula-Brian-v2.pdf</w:t>
      </w:r>
    </w:p>
    <w:p>
      <w:pPr>
        <w:pStyle w:val="BodyText"/>
        <w:rPr/>
      </w:pPr>
      <w:hyperlink r:id="rId123">
        <w:r>
          <w:rPr>
            <w:rStyle w:val="Hyperlink"/>
          </w:rPr>
          <w:t>https://lactanet.ca/wp-content/uploads/2024/10/4_Finalizing-the-Modernized-LPI-Formula-Brian-v2.pdf</w:t>
        </w:r>
      </w:hyperlink>
    </w:p>
    <w:p>
      <w:pPr>
        <w:pStyle w:val="BodyText"/>
        <w:rPr/>
      </w:pPr>
      <w:hyperlink r:id="rId124">
        <w:r>
          <w:rPr>
            <w:rStyle w:val="Hyperlink"/>
          </w:rPr>
          <w:t>[15]</w:t>
        </w:r>
      </w:hyperlink>
      <w:r>
        <w:rPr/>
        <w:t xml:space="preserve"> </w:t>
      </w:r>
      <w:hyperlink r:id="rId125">
        <w:r>
          <w:rPr>
            <w:rStyle w:val="Hyperlink"/>
          </w:rPr>
          <w:t>[66]</w:t>
        </w:r>
      </w:hyperlink>
      <w:r>
        <w:rPr/>
        <w:t xml:space="preserve"> https://www.synetics.world/news/proof-run-april-2024-index-communication</w:t>
      </w:r>
    </w:p>
    <w:p>
      <w:pPr>
        <w:pStyle w:val="BodyText"/>
        <w:rPr/>
      </w:pPr>
      <w:hyperlink r:id="rId126">
        <w:r>
          <w:rPr>
            <w:rStyle w:val="Hyperlink"/>
          </w:rPr>
          <w:t>https://www.synetics.world/news/proof-run-april-2024-index-communication</w:t>
        </w:r>
      </w:hyperlink>
    </w:p>
    <w:p>
      <w:pPr>
        <w:pStyle w:val="BodyText"/>
        <w:rPr/>
      </w:pPr>
      <w:hyperlink r:id="rId127">
        <w:r>
          <w:rPr>
            <w:rStyle w:val="Hyperlink"/>
          </w:rPr>
          <w:t>[17]</w:t>
        </w:r>
      </w:hyperlink>
      <w:r>
        <w:rPr/>
        <w:t xml:space="preserve"> </w:t>
      </w:r>
      <w:hyperlink r:id="rId128">
        <w:r>
          <w:rPr>
            <w:rStyle w:val="Hyperlink"/>
          </w:rPr>
          <w:t>[35]</w:t>
        </w:r>
      </w:hyperlink>
      <w:r>
        <w:rPr/>
        <w:t xml:space="preserve"> </w:t>
      </w:r>
      <w:hyperlink r:id="rId129">
        <w:r>
          <w:rPr>
            <w:rStyle w:val="Hyperlink"/>
          </w:rPr>
          <w:t>[55]</w:t>
        </w:r>
      </w:hyperlink>
      <w:r>
        <w:rPr/>
        <w:t xml:space="preserve"> https://nordicebv.info/wp-content/uploads/2025/02/NTM-%E2%80%93-weight-factors_04022025.pdf</w:t>
      </w:r>
    </w:p>
    <w:p>
      <w:pPr>
        <w:pStyle w:val="BodyText"/>
        <w:rPr/>
      </w:pPr>
      <w:hyperlink r:id="rId130">
        <w:r>
          <w:rPr>
            <w:rStyle w:val="Hyperlink"/>
          </w:rPr>
          <w:t>https://nordicebv.info/wp-content/uploads/2025/02/NTM-%E2%80%93-weight-factors_04022025.pdf</w:t>
        </w:r>
      </w:hyperlink>
    </w:p>
    <w:p>
      <w:pPr>
        <w:pStyle w:val="BodyText"/>
        <w:rPr/>
      </w:pPr>
      <w:hyperlink r:id="rId131">
        <w:r>
          <w:rPr>
            <w:rStyle w:val="Hyperlink"/>
          </w:rPr>
          <w:t>[18]</w:t>
        </w:r>
      </w:hyperlink>
      <w:r>
        <w:rPr/>
        <w:t xml:space="preserve"> </w:t>
      </w:r>
      <w:hyperlink r:id="rId132">
        <w:r>
          <w:rPr>
            <w:rStyle w:val="Hyperlink"/>
          </w:rPr>
          <w:t>[57]</w:t>
        </w:r>
      </w:hyperlink>
      <w:r>
        <w:rPr/>
        <w:t xml:space="preserve"> https://nordicebv.info/saved-feed/</w:t>
      </w:r>
    </w:p>
    <w:p>
      <w:pPr>
        <w:pStyle w:val="BodyText"/>
        <w:rPr/>
      </w:pPr>
      <w:hyperlink r:id="rId133">
        <w:r>
          <w:rPr>
            <w:rStyle w:val="Hyperlink"/>
          </w:rPr>
          <w:t>https://nordicebv.info/saved-feed/</w:t>
        </w:r>
      </w:hyperlink>
    </w:p>
    <w:p>
      <w:pPr>
        <w:pStyle w:val="BodyText"/>
        <w:rPr/>
      </w:pPr>
      <w:hyperlink r:id="rId134">
        <w:r>
          <w:rPr>
            <w:rStyle w:val="Hyperlink"/>
          </w:rPr>
          <w:t>[20]</w:t>
        </w:r>
      </w:hyperlink>
      <w:r>
        <w:rPr/>
        <w:t xml:space="preserve"> </w:t>
      </w:r>
      <w:hyperlink r:id="rId135">
        <w:r>
          <w:rPr>
            <w:rStyle w:val="Hyperlink"/>
          </w:rPr>
          <w:t>[58]</w:t>
        </w:r>
      </w:hyperlink>
      <w:r>
        <w:rPr/>
        <w:t xml:space="preserve"> https://www.vikinggenetics.com/about-us/innovative-breeding/ntm/saved-feed</w:t>
      </w:r>
    </w:p>
    <w:p>
      <w:pPr>
        <w:pStyle w:val="BodyText"/>
        <w:rPr/>
      </w:pPr>
      <w:hyperlink r:id="rId136">
        <w:r>
          <w:rPr>
            <w:rStyle w:val="Hyperlink"/>
          </w:rPr>
          <w:t>https://www.vikinggenetics.com/about-us/innovative-breeding/ntm/saved-feed</w:t>
        </w:r>
      </w:hyperlink>
    </w:p>
    <w:p>
      <w:pPr>
        <w:pStyle w:val="BodyText"/>
        <w:rPr/>
      </w:pPr>
      <w:hyperlink r:id="rId137">
        <w:r>
          <w:rPr>
            <w:rStyle w:val="Hyperlink"/>
          </w:rPr>
          <w:t>[22]</w:t>
        </w:r>
      </w:hyperlink>
      <w:r>
        <w:rPr/>
        <w:t xml:space="preserve"> </w:t>
      </w:r>
      <w:hyperlink r:id="rId138">
        <w:r>
          <w:rPr>
            <w:rStyle w:val="Hyperlink"/>
          </w:rPr>
          <w:t>[59]</w:t>
        </w:r>
      </w:hyperlink>
      <w:r>
        <w:rPr/>
        <w:t xml:space="preserve"> https://crv4all.com/en/service/breeding-values-explained</w:t>
      </w:r>
    </w:p>
    <w:p>
      <w:pPr>
        <w:pStyle w:val="BodyText"/>
        <w:rPr/>
      </w:pPr>
      <w:hyperlink r:id="rId139">
        <w:r>
          <w:rPr>
            <w:rStyle w:val="Hyperlink"/>
          </w:rPr>
          <w:t>https://crv4all.com/en/service/breeding-values-explained</w:t>
        </w:r>
      </w:hyperlink>
    </w:p>
    <w:p>
      <w:pPr>
        <w:pStyle w:val="BodyText"/>
        <w:rPr/>
      </w:pPr>
      <w:hyperlink r:id="rId140">
        <w:r>
          <w:rPr>
            <w:rStyle w:val="Hyperlink"/>
          </w:rPr>
          <w:t>[23]</w:t>
        </w:r>
      </w:hyperlink>
      <w:r>
        <w:rPr/>
        <w:t xml:space="preserve"> https://www.cooperatie-crv.nl/wp-content/uploads/2023/04/E_20-NVI-April-2023-Engels.pdf</w:t>
      </w:r>
    </w:p>
    <w:p>
      <w:pPr>
        <w:pStyle w:val="BodyText"/>
        <w:rPr/>
      </w:pPr>
      <w:hyperlink r:id="rId141">
        <w:r>
          <w:rPr>
            <w:rStyle w:val="Hyperlink"/>
          </w:rPr>
          <w:t>https://www.cooperatie-crv.nl/wp-content/uploads/2023/04/E_20-NVI-April-2023-Engels.pdf</w:t>
        </w:r>
      </w:hyperlink>
    </w:p>
    <w:p>
      <w:pPr>
        <w:pStyle w:val="BodyText"/>
        <w:rPr/>
      </w:pPr>
      <w:hyperlink r:id="rId142">
        <w:r>
          <w:rPr>
            <w:rStyle w:val="Hyperlink"/>
          </w:rPr>
          <w:t>[24]</w:t>
        </w:r>
      </w:hyperlink>
      <w:r>
        <w:rPr/>
        <w:t xml:space="preserve"> https://crv4all.com/en/news/milking-robot-data-making-inroads-in-breeding-value-estimation</w:t>
      </w:r>
    </w:p>
    <w:p>
      <w:pPr>
        <w:pStyle w:val="BodyText"/>
        <w:rPr/>
      </w:pPr>
      <w:hyperlink r:id="rId143">
        <w:r>
          <w:rPr>
            <w:rStyle w:val="Hyperlink"/>
          </w:rPr>
          <w:t>https://crv4all.com/en/news/milking-robot-data-making-inroads-in-breeding-value-estimation</w:t>
        </w:r>
      </w:hyperlink>
    </w:p>
    <w:p>
      <w:pPr>
        <w:pStyle w:val="BodyText"/>
        <w:rPr/>
      </w:pPr>
      <w:hyperlink r:id="rId144">
        <w:r>
          <w:rPr>
            <w:rStyle w:val="Hyperlink"/>
          </w:rPr>
          <w:t>[28]</w:t>
        </w:r>
      </w:hyperlink>
      <w:r>
        <w:rPr/>
        <w:t xml:space="preserve"> </w:t>
      </w:r>
      <w:hyperlink r:id="rId145">
        <w:r>
          <w:rPr>
            <w:rStyle w:val="Hyperlink"/>
          </w:rPr>
          <w:t>[61]</w:t>
        </w:r>
      </w:hyperlink>
      <w:r>
        <w:rPr/>
        <w:t xml:space="preserve"> https://www.vit.de/en/aktuelles/april-zuchtwerte-2024-fuer-milchrinder</w:t>
      </w:r>
    </w:p>
    <w:p>
      <w:pPr>
        <w:pStyle w:val="BodyText"/>
        <w:rPr/>
      </w:pPr>
      <w:hyperlink r:id="rId146">
        <w:r>
          <w:rPr>
            <w:rStyle w:val="Hyperlink"/>
          </w:rPr>
          <w:t>https://www.vit.de/en/aktuelles/april-zuchtwerte-2024-fuer-milchrinder</w:t>
        </w:r>
      </w:hyperlink>
    </w:p>
    <w:p>
      <w:pPr>
        <w:pStyle w:val="BodyText"/>
        <w:rPr/>
      </w:pPr>
      <w:hyperlink r:id="rId147">
        <w:r>
          <w:rPr>
            <w:rStyle w:val="Hyperlink"/>
          </w:rPr>
          <w:t>[30]</w:t>
        </w:r>
      </w:hyperlink>
      <w:r>
        <w:rPr/>
        <w:t xml:space="preserve"> </w:t>
      </w:r>
      <w:hyperlink r:id="rId148">
        <w:r>
          <w:rPr>
            <w:rStyle w:val="Hyperlink"/>
          </w:rPr>
          <w:t>[36]</w:t>
        </w:r>
      </w:hyperlink>
      <w:r>
        <w:rPr/>
        <w:t xml:space="preserve"> </w:t>
      </w:r>
      <w:hyperlink r:id="rId149">
        <w:r>
          <w:rPr>
            <w:rStyle w:val="Hyperlink"/>
          </w:rPr>
          <w:t>[67]</w:t>
        </w:r>
      </w:hyperlink>
      <w:r>
        <w:rPr/>
        <w:t xml:space="preserve"> https://www.icbf.com/economic-breeding-index-ebi/</w:t>
      </w:r>
    </w:p>
    <w:p>
      <w:pPr>
        <w:pStyle w:val="BodyText"/>
        <w:rPr/>
      </w:pPr>
      <w:hyperlink r:id="rId150">
        <w:r>
          <w:rPr>
            <w:rStyle w:val="Hyperlink"/>
          </w:rPr>
          <w:t>https://www.icbf.com/economic-breeding-index-ebi/</w:t>
        </w:r>
      </w:hyperlink>
    </w:p>
    <w:p>
      <w:pPr>
        <w:pStyle w:val="BodyText"/>
        <w:rPr/>
      </w:pPr>
      <w:hyperlink r:id="rId151">
        <w:r>
          <w:rPr>
            <w:rStyle w:val="Hyperlink"/>
          </w:rPr>
          <w:t>[31]</w:t>
        </w:r>
      </w:hyperlink>
      <w:r>
        <w:rPr/>
        <w:t xml:space="preserve"> </w:t>
      </w:r>
      <w:hyperlink r:id="rId152">
        <w:r>
          <w:rPr>
            <w:rStyle w:val="Hyperlink"/>
          </w:rPr>
          <w:t>[34]</w:t>
        </w:r>
      </w:hyperlink>
      <w:r>
        <w:rPr/>
        <w:t xml:space="preserve"> </w:t>
      </w:r>
      <w:hyperlink r:id="rId153">
        <w:r>
          <w:rPr>
            <w:rStyle w:val="Hyperlink"/>
          </w:rPr>
          <w:t>[64]</w:t>
        </w:r>
      </w:hyperlink>
      <w:r>
        <w:rPr/>
        <w:t xml:space="preserve"> https://idele.fr/fileadmin/medias/Documents/Nomenclatures/Nomenclature_BL_en.pdf</w:t>
      </w:r>
    </w:p>
    <w:p>
      <w:pPr>
        <w:pStyle w:val="BodyText"/>
        <w:rPr/>
      </w:pPr>
      <w:hyperlink r:id="rId154">
        <w:r>
          <w:rPr>
            <w:rStyle w:val="Hyperlink"/>
          </w:rPr>
          <w:t>https://idele.fr/fileadmin/medias/Documents/Nomenclatures/Nomenclature_BL_en.pdf</w:t>
        </w:r>
      </w:hyperlink>
    </w:p>
    <w:p>
      <w:pPr>
        <w:pStyle w:val="BodyText"/>
        <w:rPr/>
      </w:pPr>
      <w:hyperlink r:id="rId155">
        <w:r>
          <w:rPr>
            <w:rStyle w:val="Hyperlink"/>
          </w:rPr>
          <w:t>[33]</w:t>
        </w:r>
      </w:hyperlink>
      <w:r>
        <w:rPr/>
        <w:t xml:space="preserve"> </w:t>
      </w:r>
      <w:hyperlink r:id="rId156">
        <w:r>
          <w:rPr>
            <w:rStyle w:val="Hyperlink"/>
          </w:rPr>
          <w:t>[69]</w:t>
        </w:r>
      </w:hyperlink>
      <w:r>
        <w:rPr/>
        <w:t xml:space="preserve"> https://www.dairynz.co.nz/animal/breeding-decisions/breeding-worth/</w:t>
      </w:r>
    </w:p>
    <w:p>
      <w:pPr>
        <w:pStyle w:val="BodyText"/>
        <w:rPr/>
      </w:pPr>
      <w:hyperlink r:id="rId157">
        <w:r>
          <w:rPr>
            <w:rStyle w:val="Hyperlink"/>
          </w:rPr>
          <w:t>https://www.dairynz.co.nz/animal/breeding-decisions/breeding-worth/</w:t>
        </w:r>
      </w:hyperlink>
    </w:p>
    <w:p>
      <w:pPr>
        <w:pStyle w:val="BodyText"/>
        <w:rPr/>
      </w:pPr>
      <w:hyperlink r:id="rId158">
        <w:r>
          <w:rPr>
            <w:rStyle w:val="Hyperlink"/>
          </w:rPr>
          <w:t>[52]</w:t>
        </w:r>
      </w:hyperlink>
      <w:r>
        <w:rPr/>
        <w:t xml:space="preserve"> https://lactanet.ca/en/improved-selection-feed-efficiency/</w:t>
      </w:r>
    </w:p>
    <w:p>
      <w:pPr>
        <w:pStyle w:val="BodyText"/>
        <w:rPr/>
      </w:pPr>
      <w:hyperlink r:id="rId159">
        <w:r>
          <w:rPr>
            <w:rStyle w:val="Hyperlink"/>
          </w:rPr>
          <w:t>https://lactanet.ca/en/improved-selection-feed-efficiency/</w:t>
        </w:r>
      </w:hyperlink>
    </w:p>
    <w:p>
      <w:pPr>
        <w:pStyle w:val="BodyText"/>
        <w:rPr/>
      </w:pPr>
      <w:hyperlink r:id="rId160">
        <w:r>
          <w:rPr>
            <w:rStyle w:val="Hyperlink"/>
          </w:rPr>
          <w:t>[53]</w:t>
        </w:r>
      </w:hyperlink>
      <w:r>
        <w:rPr/>
        <w:t xml:space="preserve"> https://lactanet.ca/en/new-look-feed-efficiency/</w:t>
      </w:r>
    </w:p>
    <w:p>
      <w:pPr>
        <w:pStyle w:val="BodyText"/>
        <w:rPr/>
      </w:pPr>
      <w:hyperlink r:id="rId161">
        <w:r>
          <w:rPr>
            <w:rStyle w:val="Hyperlink"/>
          </w:rPr>
          <w:t>https://lactanet.ca/en/new-look-feed-efficiency/</w:t>
        </w:r>
      </w:hyperlink>
    </w:p>
    <w:p>
      <w:pPr>
        <w:pStyle w:val="BodyText"/>
        <w:rPr/>
      </w:pPr>
      <w:hyperlink r:id="rId162">
        <w:r>
          <w:rPr>
            <w:rStyle w:val="Hyperlink"/>
          </w:rPr>
          <w:t>[56]</w:t>
        </w:r>
      </w:hyperlink>
      <w:r>
        <w:rPr/>
        <w:t xml:space="preserve"> https://nordicebv.info/wp-content/uploads/2025/02/Correlations-between-NTM-and-sub-indices-2025-1.pdf</w:t>
      </w:r>
    </w:p>
    <w:p>
      <w:pPr>
        <w:pStyle w:val="BodyText"/>
        <w:rPr/>
      </w:pPr>
      <w:hyperlink r:id="rId163">
        <w:r>
          <w:rPr>
            <w:rStyle w:val="Hyperlink"/>
          </w:rPr>
          <w:t>https://nordicebv.info/wp-content/uploads/2025/02/Correlations-between-NTM-and-sub-indices-2025-1.pdf</w:t>
        </w:r>
      </w:hyperlink>
    </w:p>
    <w:p>
      <w:pPr>
        <w:pStyle w:val="BodyText"/>
        <w:rPr/>
      </w:pPr>
      <w:hyperlink r:id="rId164">
        <w:r>
          <w:rPr>
            <w:rStyle w:val="Hyperlink"/>
          </w:rPr>
          <w:t>[62]</w:t>
        </w:r>
      </w:hyperlink>
      <w:r>
        <w:rPr/>
        <w:t xml:space="preserve"> https://journal.interbull.org/index.php/ib/article/view/1942</w:t>
      </w:r>
    </w:p>
    <w:p>
      <w:pPr>
        <w:pStyle w:val="BodyText"/>
        <w:rPr/>
      </w:pPr>
      <w:hyperlink r:id="rId165">
        <w:r>
          <w:rPr>
            <w:rStyle w:val="Hyperlink"/>
          </w:rPr>
          <w:t>https://journal.interbull.org/index.php/ib/article/view/1942</w:t>
        </w:r>
      </w:hyperlink>
    </w:p>
    <w:p>
      <w:pPr>
        <w:pStyle w:val="BodyText"/>
        <w:rPr/>
      </w:pPr>
      <w:hyperlink r:id="rId166">
        <w:r>
          <w:rPr>
            <w:rStyle w:val="Hyperlink"/>
          </w:rPr>
          <w:t>[65]</w:t>
        </w:r>
      </w:hyperlink>
      <w:r>
        <w:rPr/>
        <w:t xml:space="preserve"> https://wiki.interbull.org/public/Nat_GE_Forms?action=AttachFile&amp;do=get&amp;target=FRAuh.rtf</w:t>
      </w:r>
    </w:p>
    <w:p>
      <w:pPr>
        <w:pStyle w:val="BodyText"/>
        <w:rPr/>
      </w:pPr>
      <w:hyperlink r:id="rId167">
        <w:r>
          <w:rPr>
            <w:rStyle w:val="Hyperlink"/>
          </w:rPr>
          <w:t>https://wiki.interbull.org/public/Nat_GE_Forms?action=AttachFile&amp;do=get&amp;target=FRAuh.rtf</w:t>
        </w:r>
      </w:hyperlink>
    </w:p>
    <w:p>
      <w:pPr>
        <w:pStyle w:val="BodyText"/>
        <w:rPr/>
      </w:pPr>
      <w:hyperlink r:id="rId168">
        <w:r>
          <w:rPr>
            <w:rStyle w:val="Hyperlink"/>
          </w:rPr>
          <w:t>[68]</w:t>
        </w:r>
      </w:hyperlink>
      <w:r>
        <w:rPr/>
        <w:t xml:space="preserve"> https://www.icbf.com/what-are-the-benefits-of-weighing-dairy-females/</w:t>
      </w:r>
    </w:p>
    <w:p>
      <w:pPr>
        <w:pStyle w:val="BodyText"/>
        <w:rPr/>
      </w:pPr>
      <w:hyperlink r:id="rId169">
        <w:r>
          <w:rPr>
            <w:rStyle w:val="Hyperlink"/>
          </w:rPr>
          <w:t>https://www.icbf.com/what-are-the-benefits-of-weighing-dairy-females/</w:t>
        </w:r>
      </w:hyperlink>
    </w:p>
    <w:p>
      <w:pPr>
        <w:pStyle w:val="BodyText"/>
        <w:rPr/>
      </w:pPr>
      <w:hyperlink r:id="rId170">
        <w:r>
          <w:rPr>
            <w:rStyle w:val="Hyperlink"/>
          </w:rPr>
          <w:t>[70]</w:t>
        </w:r>
      </w:hyperlink>
      <w:r>
        <w:rPr/>
        <w:t xml:space="preserve"> https://www.dairynz.co.nz/animal/breeding-decisions/economic-values/</w:t>
      </w:r>
    </w:p>
    <w:p>
      <w:pPr>
        <w:pStyle w:val="BodyText"/>
        <w:spacing w:before="180" w:after="180"/>
        <w:rPr/>
      </w:pPr>
      <w:hyperlink r:id="rId171">
        <w:bookmarkStart w:id="14" w:name="citations"/>
        <w:r>
          <w:rPr>
            <w:rStyle w:val="Hyperlink"/>
          </w:rPr>
          <w:t>https://www.dairynz.co.nz/animal/breeding-decisions/economic-values/</w:t>
        </w:r>
      </w:hyperlink>
      <w:bookmarkEnd w:id="14"/>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nsolas">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left"/>
      <w:pPr>
        <w:tabs>
          <w:tab w:val="num" w:pos="0"/>
        </w:tabs>
        <w:ind w:left="6480" w:hanging="36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left"/>
      <w:pPr>
        <w:tabs>
          <w:tab w:val="num" w:pos="0"/>
        </w:tabs>
        <w:ind w:left="648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1"/>
    <w:lvlOverride w:ilvl="0">
      <w:startOverride w:val="1"/>
    </w:lvlOverride>
  </w:num>
</w:numbering>
</file>

<file path=word/settings.xml><?xml version="1.0" encoding="utf-8"?>
<w:settings xmlns:w="http://schemas.openxmlformats.org/wordprocessingml/2006/main">
  <w:zoom w:percent="100"/>
  <w:embedSystemFonts/>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BodyText"/>
    <w:link w:val="Heading1Char"/>
    <w:uiPriority w:val="9"/>
    <w:qFormat/>
    <w:rsid w:val="00a10fd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BodyText"/>
    <w:link w:val="Heading2Char"/>
    <w:uiPriority w:val="9"/>
    <w:semiHidden/>
    <w:unhideWhenUsed/>
    <w:qFormat/>
    <w:rsid w:val="00a10fd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BodyText"/>
    <w:link w:val="Heading3Char"/>
    <w:uiPriority w:val="9"/>
    <w:semiHidden/>
    <w:unhideWhenUsed/>
    <w:qFormat/>
    <w:rsid w:val="00a10fd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BodyText"/>
    <w:link w:val="Heading4Char"/>
    <w:uiPriority w:val="9"/>
    <w:semiHidden/>
    <w:unhideWhenUsed/>
    <w:qFormat/>
    <w:rsid w:val="00a10fd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BodyText"/>
    <w:link w:val="Heading5Char"/>
    <w:uiPriority w:val="9"/>
    <w:semiHidden/>
    <w:unhideWhenUsed/>
    <w:qFormat/>
    <w:rsid w:val="00a10fd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BodyText"/>
    <w:link w:val="Heading6Char"/>
    <w:uiPriority w:val="9"/>
    <w:semiHidden/>
    <w:unhideWhenUsed/>
    <w:qFormat/>
    <w:rsid w:val="00a10fd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BodyText"/>
    <w:link w:val="Heading7Char"/>
    <w:uiPriority w:val="9"/>
    <w:semiHidden/>
    <w:unhideWhenUsed/>
    <w:qFormat/>
    <w:rsid w:val="00a10fd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BodyText"/>
    <w:link w:val="Heading8Char"/>
    <w:uiPriority w:val="9"/>
    <w:semiHidden/>
    <w:unhideWhenUsed/>
    <w:qFormat/>
    <w:rsid w:val="00a10fd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BodyText"/>
    <w:link w:val="Heading9Char"/>
    <w:uiPriority w:val="9"/>
    <w:semiHidden/>
    <w:unhideWhenUsed/>
    <w:qFormat/>
    <w:rsid w:val="00a10fd9"/>
    <w:pPr>
      <w:keepNext w:val="true"/>
      <w:keepLines/>
      <w:spacing w:before="0" w:after="0"/>
      <w:outlineLvl w:val="8"/>
    </w:pPr>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a10fd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10fd9"/>
    <w:rPr>
      <w:rFonts w:eastAsia="" w:cs="" w:cstheme="majorBidi" w:eastAsiaTheme="majorEastAsia"/>
      <w:color w:themeColor="text1" w:themeTint="a6" w:val="595959"/>
      <w:spacing w:val="15"/>
      <w:sz w:val="28"/>
      <w:szCs w:val="28"/>
    </w:rPr>
  </w:style>
  <w:style w:type="character" w:styleId="Heading1Char" w:customStyle="1">
    <w:name w:val="Heading 1 Char"/>
    <w:basedOn w:val="DefaultParagraphFont"/>
    <w:link w:val="Heading1"/>
    <w:uiPriority w:val="9"/>
    <w:qFormat/>
    <w:rsid w:val="00a10fd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a10fd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a10fd9"/>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a10fd9"/>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a10fd9"/>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a10fd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10fd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10fd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10fd9"/>
    <w:rPr>
      <w:rFonts w:eastAsia="" w:cs="" w:cstheme="majorBidi" w:eastAsiaTheme="majorEastAsia"/>
      <w:color w:themeColor="text1" w:themeTint="d8" w:val="272727"/>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basedOn w:val="BodyTextChar"/>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Lucida 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Lucida Sans"/>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link w:val="TitleChar"/>
    <w:uiPriority w:val="10"/>
    <w:qFormat/>
    <w:rsid w:val="00a10fd9"/>
    <w:pPr>
      <w:spacing w:lineRule="auto" w:line="240" w:before="0" w:after="80"/>
      <w:contextualSpacing/>
      <w:jc w:val="center"/>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Title"/>
    <w:next w:val="BodyText"/>
    <w:link w:val="SubtitleChar"/>
    <w:uiPriority w:val="11"/>
    <w:qFormat/>
    <w:rsid w:val="00a10fd9"/>
    <w:pPr/>
    <w:rPr>
      <w:rFonts w:eastAsia="" w:cs="" w:cstheme="majorBidi" w:eastAsiaTheme="majorEastAsia"/>
      <w:spacing w:val="15"/>
      <w:sz w:val="28"/>
      <w:szCs w:val="28"/>
    </w:rPr>
  </w:style>
  <w:style w:type="paragraph" w:styleId="Author" w:customStyle="1">
    <w:name w:val="Author"/>
    <w:next w:val="BodyText"/>
    <w:qFormat/>
    <w:pPr>
      <w:keepNext w:val="true"/>
      <w:keepLines/>
      <w:widowControl/>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Date">
    <w:name w:val="Date"/>
    <w:next w:val="BodyText"/>
    <w:qFormat/>
    <w:pPr>
      <w:keepNext w:val="true"/>
      <w:keepLines/>
      <w:widowControl/>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FootnoteBlockText">
    <w:name w:val="Footnote Block Text"/>
    <w:basedOn w:val="FootnoteText"/>
    <w:next w:val="FootnoteText"/>
    <w:uiPriority w:val="9"/>
    <w:unhideWhenUsed/>
    <w:qFormat/>
    <w:pPr>
      <w:spacing w:before="100" w:after="100"/>
      <w:ind w:hanging="0" w:left="480" w:right="480"/>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80"/>
      <w:outlineLvl w:val="9"/>
    </w:pPr>
    <w:rPr>
      <w:rFonts w:ascii="Aptos Display" w:hAnsi="Aptos Display"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scdcb.com/wp-content/uploads/2026/02/nmcalc-2025_ARR-NM9_without-type_composites_updatedFeb2026.pdf" TargetMode="External"/><Relationship Id="rId3" Type="http://schemas.openxmlformats.org/officeDocument/2006/relationships/hyperlink" Target="https://uscdcb.com/wp-content/uploads/2025/02/Type-composites_Net-merit_Feb2025_updated.pdf" TargetMode="External"/><Relationship Id="rId4" Type="http://schemas.openxmlformats.org/officeDocument/2006/relationships/hyperlink" Target="https://www.holsteinusa.com/pdf/committee/Recommendations/Conformation%20Advisory%20Committee%20Recommendations_February%202026.pdf" TargetMode="External"/><Relationship Id="rId5" Type="http://schemas.openxmlformats.org/officeDocument/2006/relationships/hyperlink" Target="https://uscdcb.com/wp-content/uploads/2026/02/nmcalc-2025_ARR-NM9_without-type_composites_updatedFeb2026.pdf" TargetMode="External"/><Relationship Id="rId6" Type="http://schemas.openxmlformats.org/officeDocument/2006/relationships/hyperlink" Target="https://www.vit.de/en/news" TargetMode="External"/><Relationship Id="rId7" Type="http://schemas.openxmlformats.org/officeDocument/2006/relationships/hyperlink" Target="https://www.vit.de/en/news" TargetMode="External"/><Relationship Id="rId8" Type="http://schemas.openxmlformats.org/officeDocument/2006/relationships/hyperlink" Target="https://uscdcb.com/wp-content/uploads/2026/02/nmcalc-2025_ARR-NM9_without-type_composites_updatedFeb2026.pdf" TargetMode="External"/><Relationship Id="rId9" Type="http://schemas.openxmlformats.org/officeDocument/2006/relationships/hyperlink" Target="https://lactanet.ca/en/genetic-body-maintenance-requirements/" TargetMode="External"/><Relationship Id="rId10" Type="http://schemas.openxmlformats.org/officeDocument/2006/relationships/hyperlink" Target="https://www.holsteinusa.com/pdf/committee/Recommendations/Conformation%20Advisory%20Committee%20Recommendations_February%202026.pdf" TargetMode="External"/><Relationship Id="rId11" Type="http://schemas.openxmlformats.org/officeDocument/2006/relationships/hyperlink" Target="https://www.holsteinusa.com/pdf/committee/Recommendations/Conformation%20Advisory%20Committee%20Recommendations_February%202026.pdf" TargetMode="External"/><Relationship Id="rId12" Type="http://schemas.openxmlformats.org/officeDocument/2006/relationships/hyperlink" Target="https://www.vit.de/en/news" TargetMode="External"/><Relationship Id="rId13" Type="http://schemas.openxmlformats.org/officeDocument/2006/relationships/hyperlink" Target="https://lactanet.ca/en/the-modernized-lpi-launching-april-2025/" TargetMode="External"/><Relationship Id="rId14" Type="http://schemas.openxmlformats.org/officeDocument/2006/relationships/hyperlink" Target="https://lactanet.ca/en/genetic-body-maintenance-requirements/" TargetMode="External"/><Relationship Id="rId15" Type="http://schemas.openxmlformats.org/officeDocument/2006/relationships/hyperlink" Target="https://lactanet.ca/wp-content/uploads/2024/10/4_Finalizing-the-Modernized-LPI-Formula-Brian-v2.pdf" TargetMode="External"/><Relationship Id="rId16" Type="http://schemas.openxmlformats.org/officeDocument/2006/relationships/hyperlink" Target="https://www.synetics.world/news/proof-run-april-2024-index-communication" TargetMode="External"/><Relationship Id="rId17" Type="http://schemas.openxmlformats.org/officeDocument/2006/relationships/hyperlink" Target="https://www.holsteinusa.com/pdf/committee/Recommendations/Conformation%20Advisory%20Committee%20Recommendations_February%202026.pdf" TargetMode="External"/><Relationship Id="rId18" Type="http://schemas.openxmlformats.org/officeDocument/2006/relationships/hyperlink" Target="https://nordicebv.info/wp-content/uploads/2025/02/NTM-&#8211;-weight-factors_04022025.pdf" TargetMode="External"/><Relationship Id="rId19" Type="http://schemas.openxmlformats.org/officeDocument/2006/relationships/hyperlink" Target="https://nordicebv.info/saved-feed/" TargetMode="External"/><Relationship Id="rId20" Type="http://schemas.openxmlformats.org/officeDocument/2006/relationships/hyperlink" Target="https://uscdcb.com/wp-content/uploads/2025/02/Type-composites_Net-merit_Feb2025_updated.pdf" TargetMode="External"/><Relationship Id="rId21" Type="http://schemas.openxmlformats.org/officeDocument/2006/relationships/hyperlink" Target="https://www.vikinggenetics.com/about-us/innovative-breeding/ntm/saved-feed" TargetMode="External"/><Relationship Id="rId22" Type="http://schemas.openxmlformats.org/officeDocument/2006/relationships/hyperlink" Target="https://lactanet.ca/en/genetic-body-maintenance-requirements/" TargetMode="External"/><Relationship Id="rId23" Type="http://schemas.openxmlformats.org/officeDocument/2006/relationships/hyperlink" Target="https://crv4all.com/en/service/breeding-values-explained" TargetMode="External"/><Relationship Id="rId24" Type="http://schemas.openxmlformats.org/officeDocument/2006/relationships/hyperlink" Target="https://www.cooperatie-crv.nl/wp-content/uploads/2023/04/E_20-NVI-April-2023-Engels.pdf" TargetMode="External"/><Relationship Id="rId25" Type="http://schemas.openxmlformats.org/officeDocument/2006/relationships/hyperlink" Target="https://crv4all.com/en/news/milking-robot-data-making-inroads-in-breeding-value-estimation" TargetMode="External"/><Relationship Id="rId26" Type="http://schemas.openxmlformats.org/officeDocument/2006/relationships/hyperlink" Target="https://uscdcb.com/wp-content/uploads/2025/02/Type-composites_Net-merit_Feb2025_updated.pdf" TargetMode="External"/><Relationship Id="rId27" Type="http://schemas.openxmlformats.org/officeDocument/2006/relationships/hyperlink" Target="https://uscdcb.com/wp-content/uploads/2026/02/nmcalc-2025_ARR-NM9_without-type_composites_updatedFeb2026.pdf" TargetMode="External"/><Relationship Id="rId28" Type="http://schemas.openxmlformats.org/officeDocument/2006/relationships/hyperlink" Target="https://www.vit.de/en/news" TargetMode="External"/><Relationship Id="rId29" Type="http://schemas.openxmlformats.org/officeDocument/2006/relationships/hyperlink" Target="https://www.vit.de/en/aktuelles/april-zuchtwerte-2024-fuer-milchrinder" TargetMode="External"/><Relationship Id="rId30" Type="http://schemas.openxmlformats.org/officeDocument/2006/relationships/hyperlink" Target="https://uscdcb.com/wp-content/uploads/2026/02/nmcalc-2025_ARR-NM9_without-type_composites_updatedFeb2026.pdf" TargetMode="External"/><Relationship Id="rId31" Type="http://schemas.openxmlformats.org/officeDocument/2006/relationships/hyperlink" Target="https://www.icbf.com/economic-breeding-index-ebi/" TargetMode="External"/><Relationship Id="rId32" Type="http://schemas.openxmlformats.org/officeDocument/2006/relationships/hyperlink" Target="https://idele.fr/fileadmin/medias/Documents/Nomenclatures/Nomenclature_BL_en.pdf" TargetMode="External"/><Relationship Id="rId33" Type="http://schemas.openxmlformats.org/officeDocument/2006/relationships/hyperlink" Target="https://www.holsteinusa.com/pdf/committee/Recommendations/Conformation%20Advisory%20Committee%20Recommendations_February%202026.pdf" TargetMode="External"/><Relationship Id="rId34" Type="http://schemas.openxmlformats.org/officeDocument/2006/relationships/hyperlink" Target="https://www.dairynz.co.nz/animal/breeding-decisions/breeding-worth/" TargetMode="External"/><Relationship Id="rId35" Type="http://schemas.openxmlformats.org/officeDocument/2006/relationships/hyperlink" Target="https://idele.fr/fileadmin/medias/Documents/Nomenclatures/Nomenclature_BL_en.pdf" TargetMode="External"/><Relationship Id="rId36" Type="http://schemas.openxmlformats.org/officeDocument/2006/relationships/hyperlink" Target="https://nordicebv.info/wp-content/uploads/2025/02/NTM-&#8211;-weight-factors_04022025.pdf" TargetMode="External"/><Relationship Id="rId37" Type="http://schemas.openxmlformats.org/officeDocument/2006/relationships/hyperlink" Target="https://www.icbf.com/economic-breeding-index-ebi/" TargetMode="External"/><Relationship Id="rId38" Type="http://schemas.openxmlformats.org/officeDocument/2006/relationships/hyperlink" Target="https://uscdcb.com/wp-content/uploads/2026/02/nmcalc-2025_ARR-NM9_without-type_composites_updatedFeb2026.pdf" TargetMode="External"/><Relationship Id="rId39" Type="http://schemas.openxmlformats.org/officeDocument/2006/relationships/hyperlink" Target="https://uscdcb.com/wp-content/uploads/2025/02/Type-composites_Net-merit_Feb2025_updated.pdf" TargetMode="External"/><Relationship Id="rId40" Type="http://schemas.openxmlformats.org/officeDocument/2006/relationships/hyperlink" Target="https://www.holsteinusa.com/pdf/committee/Recommendations/Conformation%20Advisory%20Committee%20Recommendations_February%202026.pdf" TargetMode="External"/><Relationship Id="rId41" Type="http://schemas.openxmlformats.org/officeDocument/2006/relationships/hyperlink" Target="https://lactanet.ca/en/the-modernized-lpi-launching-april-2025/" TargetMode="External"/><Relationship Id="rId42" Type="http://schemas.openxmlformats.org/officeDocument/2006/relationships/hyperlink" Target="https://uscdcb.com/wp-content/uploads/2026/02/nmcalc-2025_ARR-NM9_without-type_composites_updatedFeb2026.pdf" TargetMode="External"/><Relationship Id="rId43" Type="http://schemas.openxmlformats.org/officeDocument/2006/relationships/hyperlink" Target="https://uscdcb.com/wp-content/uploads/2026/02/nmcalc-2025_ARR-NM9_without-type_composites_updatedFeb2026.pdf" TargetMode="External"/><Relationship Id="rId44" Type="http://schemas.openxmlformats.org/officeDocument/2006/relationships/hyperlink" Target="https://lactanet.ca/en/genetic-body-maintenance-requirements/" TargetMode="External"/><Relationship Id="rId45" Type="http://schemas.openxmlformats.org/officeDocument/2006/relationships/hyperlink" Target="https://www.holsteinusa.com/pdf/committee/Recommendations/Conformation%20Advisory%20Committee%20Recommendations_February%202026.pdf" TargetMode="External"/><Relationship Id="rId46" Type="http://schemas.openxmlformats.org/officeDocument/2006/relationships/hyperlink" Target="https://lactanet.ca/en/genetic-body-maintenance-requirements/" TargetMode="External"/><Relationship Id="rId47" Type="http://schemas.openxmlformats.org/officeDocument/2006/relationships/hyperlink" Target="https://lactanet.ca/en/the-modernized-lpi-launching-april-2025/" TargetMode="External"/><Relationship Id="rId48" Type="http://schemas.openxmlformats.org/officeDocument/2006/relationships/hyperlink" Target="https://www.holsteinusa.com/pdf/committee/Recommendations/Conformation%20Advisory%20Committee%20Recommendations_February%202026.pdf" TargetMode="External"/><Relationship Id="rId49" Type="http://schemas.openxmlformats.org/officeDocument/2006/relationships/hyperlink" Target="https://uscdcb.com/wp-content/uploads/2026/02/nmcalc-2025_ARR-NM9_without-type_composites_updatedFeb2026.pdf" TargetMode="External"/><Relationship Id="rId50" Type="http://schemas.openxmlformats.org/officeDocument/2006/relationships/hyperlink" Target="https://uscdcb.com/wp-content/uploads/2026/02/nmcalc-2025_ARR-NM9_without-type_composites_updatedFeb2026.pdf" TargetMode="External"/><Relationship Id="rId51" Type="http://schemas.openxmlformats.org/officeDocument/2006/relationships/hyperlink" Target="https://uscdcb.com/wp-content/uploads/2025/02/Type-composites_Net-merit_Feb2025_updated.pdf" TargetMode="External"/><Relationship Id="rId52" Type="http://schemas.openxmlformats.org/officeDocument/2006/relationships/hyperlink" Target="https://www.holsteinusa.com/pdf/committee/Recommendations/Conformation%20Advisory%20Committee%20Recommendations_February%202026.pdf" TargetMode="External"/><Relationship Id="rId53" Type="http://schemas.openxmlformats.org/officeDocument/2006/relationships/hyperlink" Target="https://www.holsteinusa.com/pdf/committee/Recommendations/Conformation%20Advisory%20Committee%20Recommendations_February%202026.pdf" TargetMode="External"/><Relationship Id="rId54" Type="http://schemas.openxmlformats.org/officeDocument/2006/relationships/hyperlink" Target="https://lactanet.ca/en/the-modernized-lpi-launching-april-2025/" TargetMode="External"/><Relationship Id="rId55" Type="http://schemas.openxmlformats.org/officeDocument/2006/relationships/hyperlink" Target="https://lactanet.ca/en/genetic-body-maintenance-requirements/" TargetMode="External"/><Relationship Id="rId56" Type="http://schemas.openxmlformats.org/officeDocument/2006/relationships/hyperlink" Target="https://lactanet.ca/en/improved-selection-feed-efficiency/" TargetMode="External"/><Relationship Id="rId57" Type="http://schemas.openxmlformats.org/officeDocument/2006/relationships/hyperlink" Target="https://lactanet.ca/en/new-look-feed-efficiency/" TargetMode="External"/><Relationship Id="rId58" Type="http://schemas.openxmlformats.org/officeDocument/2006/relationships/hyperlink" Target="https://lactanet.ca/wp-content/uploads/2024/10/4_Finalizing-the-Modernized-LPI-Formula-Brian-v2.pdf" TargetMode="External"/><Relationship Id="rId59" Type="http://schemas.openxmlformats.org/officeDocument/2006/relationships/hyperlink" Target="https://nordicebv.info/wp-content/uploads/2025/02/NTM-&#8211;-weight-factors_04022025.pdf" TargetMode="External"/><Relationship Id="rId60" Type="http://schemas.openxmlformats.org/officeDocument/2006/relationships/hyperlink" Target="https://nordicebv.info/wp-content/uploads/2025/02/Correlations-between-NTM-and-sub-indices-2025-1.pdf" TargetMode="External"/><Relationship Id="rId61" Type="http://schemas.openxmlformats.org/officeDocument/2006/relationships/hyperlink" Target="https://nordicebv.info/saved-feed/" TargetMode="External"/><Relationship Id="rId62" Type="http://schemas.openxmlformats.org/officeDocument/2006/relationships/hyperlink" Target="https://www.vikinggenetics.com/about-us/innovative-breeding/ntm/saved-feed" TargetMode="External"/><Relationship Id="rId63" Type="http://schemas.openxmlformats.org/officeDocument/2006/relationships/hyperlink" Target="https://crv4all.com/en/service/breeding-values-explained" TargetMode="External"/><Relationship Id="rId64" Type="http://schemas.openxmlformats.org/officeDocument/2006/relationships/hyperlink" Target="https://www.cooperatie-crv.nl/wp-content/uploads/2023/04/E_20-NVI-April-2023-Engels.pdf" TargetMode="External"/><Relationship Id="rId65" Type="http://schemas.openxmlformats.org/officeDocument/2006/relationships/hyperlink" Target="https://crv4all.com/en/news/milking-robot-data-making-inroads-in-breeding-value-estimation" TargetMode="External"/><Relationship Id="rId66" Type="http://schemas.openxmlformats.org/officeDocument/2006/relationships/hyperlink" Target="https://www.vit.de/en/news" TargetMode="External"/><Relationship Id="rId67" Type="http://schemas.openxmlformats.org/officeDocument/2006/relationships/hyperlink" Target="https://www.vit.de/en/aktuelles/april-zuchtwerte-2024-fuer-milchrinder" TargetMode="External"/><Relationship Id="rId68" Type="http://schemas.openxmlformats.org/officeDocument/2006/relationships/hyperlink" Target="https://journal.interbull.org/index.php/ib/article/view/1942" TargetMode="External"/><Relationship Id="rId69" Type="http://schemas.openxmlformats.org/officeDocument/2006/relationships/hyperlink" Target="https://www.vit.de/en/news" TargetMode="External"/><Relationship Id="rId70" Type="http://schemas.openxmlformats.org/officeDocument/2006/relationships/hyperlink" Target="https://idele.fr/fileadmin/medias/Documents/Nomenclatures/Nomenclature_BL_en.pdf" TargetMode="External"/><Relationship Id="rId71" Type="http://schemas.openxmlformats.org/officeDocument/2006/relationships/hyperlink" Target="https://wiki.interbull.org/public/Nat_GE_Forms?action=AttachFile&amp;do=get&amp;target=FRAuh.rtf" TargetMode="External"/><Relationship Id="rId72" Type="http://schemas.openxmlformats.org/officeDocument/2006/relationships/hyperlink" Target="https://www.synetics.world/news/proof-run-april-2024-index-communication" TargetMode="External"/><Relationship Id="rId73" Type="http://schemas.openxmlformats.org/officeDocument/2006/relationships/hyperlink" Target="https://www.icbf.com/economic-breeding-index-ebi/" TargetMode="External"/><Relationship Id="rId74" Type="http://schemas.openxmlformats.org/officeDocument/2006/relationships/hyperlink" Target="https://www.icbf.com/what-are-the-benefits-of-weighing-dairy-females/" TargetMode="External"/><Relationship Id="rId75" Type="http://schemas.openxmlformats.org/officeDocument/2006/relationships/hyperlink" Target="https://www.dairynz.co.nz/animal/breeding-decisions/breeding-worth/" TargetMode="External"/><Relationship Id="rId76" Type="http://schemas.openxmlformats.org/officeDocument/2006/relationships/hyperlink" Target="https://www.dairynz.co.nz/animal/breeding-decisions/economic-values/" TargetMode="External"/><Relationship Id="rId77" Type="http://schemas.openxmlformats.org/officeDocument/2006/relationships/hyperlink" Target="https://uscdcb.com/wp-content/uploads/2026/02/nmcalc-2025_ARR-NM9_without-type_composites_updatedFeb2026.pdf" TargetMode="External"/><Relationship Id="rId78" Type="http://schemas.openxmlformats.org/officeDocument/2006/relationships/hyperlink" Target="https://uscdcb.com/wp-content/uploads/2026/02/nmcalc-2025_ARR-NM9_without-type_composites_updatedFeb2026.pdf" TargetMode="External"/><Relationship Id="rId79" Type="http://schemas.openxmlformats.org/officeDocument/2006/relationships/hyperlink" Target="https://uscdcb.com/wp-content/uploads/2026/02/nmcalc-2025_ARR-NM9_without-type_composites_updatedFeb2026.pdf" TargetMode="External"/><Relationship Id="rId80" Type="http://schemas.openxmlformats.org/officeDocument/2006/relationships/hyperlink" Target="https://uscdcb.com/wp-content/uploads/2026/02/nmcalc-2025_ARR-NM9_without-type_composites_updatedFeb2026.pdf" TargetMode="External"/><Relationship Id="rId81" Type="http://schemas.openxmlformats.org/officeDocument/2006/relationships/hyperlink" Target="https://uscdcb.com/wp-content/uploads/2026/02/nmcalc-2025_ARR-NM9_without-type_composites_updatedFeb2026.pdf" TargetMode="External"/><Relationship Id="rId82" Type="http://schemas.openxmlformats.org/officeDocument/2006/relationships/hyperlink" Target="https://uscdcb.com/wp-content/uploads/2026/02/nmcalc-2025_ARR-NM9_without-type_composites_updatedFeb2026.pdf" TargetMode="External"/><Relationship Id="rId83" Type="http://schemas.openxmlformats.org/officeDocument/2006/relationships/hyperlink" Target="https://uscdcb.com/wp-content/uploads/2026/02/nmcalc-2025_ARR-NM9_without-type_composites_updatedFeb2026.pdf" TargetMode="External"/><Relationship Id="rId84" Type="http://schemas.openxmlformats.org/officeDocument/2006/relationships/hyperlink" Target="https://uscdcb.com/wp-content/uploads/2026/02/nmcalc-2025_ARR-NM9_without-type_composites_updatedFeb2026.pdf" TargetMode="External"/><Relationship Id="rId85" Type="http://schemas.openxmlformats.org/officeDocument/2006/relationships/hyperlink" Target="https://uscdcb.com/wp-content/uploads/2026/02/nmcalc-2025_ARR-NM9_without-type_composites_updatedFeb2026.pdf" TargetMode="External"/><Relationship Id="rId86" Type="http://schemas.openxmlformats.org/officeDocument/2006/relationships/hyperlink" Target="https://uscdcb.com/wp-content/uploads/2026/02/nmcalc-2025_ARR-NM9_without-type_composites_updatedFeb2026.pdf" TargetMode="External"/><Relationship Id="rId87" Type="http://schemas.openxmlformats.org/officeDocument/2006/relationships/hyperlink" Target="https://uscdcb.com/wp-content/uploads/2026/02/nmcalc-2025_ARR-NM9_without-type_composites_updatedFeb2026.pdf" TargetMode="External"/><Relationship Id="rId88" Type="http://schemas.openxmlformats.org/officeDocument/2006/relationships/hyperlink" Target="https://uscdcb.com/wp-content/uploads/2025/02/Type-composites_Net-merit_Feb2025_updated.pdf" TargetMode="External"/><Relationship Id="rId89" Type="http://schemas.openxmlformats.org/officeDocument/2006/relationships/hyperlink" Target="https://uscdcb.com/wp-content/uploads/2025/02/Type-composites_Net-merit_Feb2025_updated.pdf" TargetMode="External"/><Relationship Id="rId90" Type="http://schemas.openxmlformats.org/officeDocument/2006/relationships/hyperlink" Target="https://uscdcb.com/wp-content/uploads/2025/02/Type-composites_Net-merit_Feb2025_updated.pdf" TargetMode="External"/><Relationship Id="rId91" Type="http://schemas.openxmlformats.org/officeDocument/2006/relationships/hyperlink" Target="https://uscdcb.com/wp-content/uploads/2025/02/Type-composites_Net-merit_Feb2025_updated.pdf" TargetMode="External"/><Relationship Id="rId92" Type="http://schemas.openxmlformats.org/officeDocument/2006/relationships/hyperlink" Target="https://uscdcb.com/wp-content/uploads/2025/02/Type-composites_Net-merit_Feb2025_updated.pdf" TargetMode="External"/><Relationship Id="rId93" Type="http://schemas.openxmlformats.org/officeDocument/2006/relationships/hyperlink" Target="https://uscdcb.com/wp-content/uploads/2025/02/Type-composites_Net-merit_Feb2025_updated.pdf" TargetMode="External"/><Relationship Id="rId94" Type="http://schemas.openxmlformats.org/officeDocument/2006/relationships/hyperlink" Target="https://www.holsteinusa.com/pdf/committee/Recommendations/Conformation%20Advisory%20Committee%20Recommendations_February%202026.pdf" TargetMode="External"/><Relationship Id="rId95" Type="http://schemas.openxmlformats.org/officeDocument/2006/relationships/hyperlink" Target="https://www.holsteinusa.com/pdf/committee/Recommendations/Conformation%20Advisory%20Committee%20Recommendations_February%202026.pdf" TargetMode="External"/><Relationship Id="rId96" Type="http://schemas.openxmlformats.org/officeDocument/2006/relationships/hyperlink" Target="https://www.holsteinusa.com/pdf/committee/Recommendations/Conformation%20Advisory%20Committee%20Recommendations_February%202026.pdf" TargetMode="External"/><Relationship Id="rId97" Type="http://schemas.openxmlformats.org/officeDocument/2006/relationships/hyperlink" Target="https://www.holsteinusa.com/pdf/committee/Recommendations/Conformation%20Advisory%20Committee%20Recommendations_February%202026.pdf" TargetMode="External"/><Relationship Id="rId98" Type="http://schemas.openxmlformats.org/officeDocument/2006/relationships/hyperlink" Target="https://www.holsteinusa.com/pdf/committee/Recommendations/Conformation%20Advisory%20Committee%20Recommendations_February%202026.pdf" TargetMode="External"/><Relationship Id="rId99" Type="http://schemas.openxmlformats.org/officeDocument/2006/relationships/hyperlink" Target="https://www.holsteinusa.com/pdf/committee/Recommendations/Conformation%20Advisory%20Committee%20Recommendations_February%202026.pdf" TargetMode="External"/><Relationship Id="rId100" Type="http://schemas.openxmlformats.org/officeDocument/2006/relationships/hyperlink" Target="https://www.holsteinusa.com/pdf/committee/Recommendations/Conformation%20Advisory%20Committee%20Recommendations_February%202026.pdf" TargetMode="External"/><Relationship Id="rId101" Type="http://schemas.openxmlformats.org/officeDocument/2006/relationships/hyperlink" Target="https://www.holsteinusa.com/pdf/committee/Recommendations/Conformation%20Advisory%20Committee%20Recommendations_February%202026.pdf" TargetMode="External"/><Relationship Id="rId102" Type="http://schemas.openxmlformats.org/officeDocument/2006/relationships/hyperlink" Target="https://www.holsteinusa.com/pdf/committee/Recommendations/Conformation%20Advisory%20Committee%20Recommendations_February%202026.pdf" TargetMode="External"/><Relationship Id="rId103" Type="http://schemas.openxmlformats.org/officeDocument/2006/relationships/hyperlink" Target="https://www.holsteinusa.com/pdf/committee/Recommendations/Conformation%20Advisory%20Committee%20Recommendations_February%202026.pdf" TargetMode="External"/><Relationship Id="rId104" Type="http://schemas.openxmlformats.org/officeDocument/2006/relationships/hyperlink" Target="https://www.vit.de/en/news" TargetMode="External"/><Relationship Id="rId105" Type="http://schemas.openxmlformats.org/officeDocument/2006/relationships/hyperlink" Target="https://www.vit.de/en/news" TargetMode="External"/><Relationship Id="rId106" Type="http://schemas.openxmlformats.org/officeDocument/2006/relationships/hyperlink" Target="https://www.vit.de/en/news" TargetMode="External"/><Relationship Id="rId107" Type="http://schemas.openxmlformats.org/officeDocument/2006/relationships/hyperlink" Target="https://www.vit.de/en/news" TargetMode="External"/><Relationship Id="rId108" Type="http://schemas.openxmlformats.org/officeDocument/2006/relationships/hyperlink" Target="https://www.vit.de/en/news" TargetMode="External"/><Relationship Id="rId109" Type="http://schemas.openxmlformats.org/officeDocument/2006/relationships/hyperlink" Target="https://www.vit.de/en/news" TargetMode="External"/><Relationship Id="rId110" Type="http://schemas.openxmlformats.org/officeDocument/2006/relationships/hyperlink" Target="https://www.vit.de/en/news" TargetMode="External"/><Relationship Id="rId111" Type="http://schemas.openxmlformats.org/officeDocument/2006/relationships/hyperlink" Target="https://lactanet.ca/en/genetic-body-maintenance-requirements/" TargetMode="External"/><Relationship Id="rId112" Type="http://schemas.openxmlformats.org/officeDocument/2006/relationships/hyperlink" Target="https://lactanet.ca/en/genetic-body-maintenance-requirements/" TargetMode="External"/><Relationship Id="rId113" Type="http://schemas.openxmlformats.org/officeDocument/2006/relationships/hyperlink" Target="https://lactanet.ca/en/genetic-body-maintenance-requirements/" TargetMode="External"/><Relationship Id="rId114" Type="http://schemas.openxmlformats.org/officeDocument/2006/relationships/hyperlink" Target="https://lactanet.ca/en/genetic-body-maintenance-requirements/" TargetMode="External"/><Relationship Id="rId115" Type="http://schemas.openxmlformats.org/officeDocument/2006/relationships/hyperlink" Target="https://lactanet.ca/en/genetic-body-maintenance-requirements/" TargetMode="External"/><Relationship Id="rId116" Type="http://schemas.openxmlformats.org/officeDocument/2006/relationships/hyperlink" Target="https://lactanet.ca/en/genetic-body-maintenance-requirements/" TargetMode="External"/><Relationship Id="rId117" Type="http://schemas.openxmlformats.org/officeDocument/2006/relationships/hyperlink" Target="https://lactanet.ca/en/the-modernized-lpi-launching-april-2025/" TargetMode="External"/><Relationship Id="rId118" Type="http://schemas.openxmlformats.org/officeDocument/2006/relationships/hyperlink" Target="https://lactanet.ca/en/the-modernized-lpi-launching-april-2025/" TargetMode="External"/><Relationship Id="rId119" Type="http://schemas.openxmlformats.org/officeDocument/2006/relationships/hyperlink" Target="https://lactanet.ca/en/the-modernized-lpi-launching-april-2025/" TargetMode="External"/><Relationship Id="rId120" Type="http://schemas.openxmlformats.org/officeDocument/2006/relationships/hyperlink" Target="https://lactanet.ca/en/the-modernized-lpi-launching-april-2025/" TargetMode="External"/><Relationship Id="rId121" Type="http://schemas.openxmlformats.org/officeDocument/2006/relationships/hyperlink" Target="https://lactanet.ca/wp-content/uploads/2024/10/4_Finalizing-the-Modernized-LPI-Formula-Brian-v2.pdf" TargetMode="External"/><Relationship Id="rId122" Type="http://schemas.openxmlformats.org/officeDocument/2006/relationships/hyperlink" Target="https://lactanet.ca/wp-content/uploads/2024/10/4_Finalizing-the-Modernized-LPI-Formula-Brian-v2.pdf" TargetMode="External"/><Relationship Id="rId123" Type="http://schemas.openxmlformats.org/officeDocument/2006/relationships/hyperlink" Target="https://lactanet.ca/wp-content/uploads/2024/10/4_Finalizing-the-Modernized-LPI-Formula-Brian-v2.pdf" TargetMode="External"/><Relationship Id="rId124" Type="http://schemas.openxmlformats.org/officeDocument/2006/relationships/hyperlink" Target="https://www.synetics.world/news/proof-run-april-2024-index-communication" TargetMode="External"/><Relationship Id="rId125" Type="http://schemas.openxmlformats.org/officeDocument/2006/relationships/hyperlink" Target="https://www.synetics.world/news/proof-run-april-2024-index-communication" TargetMode="External"/><Relationship Id="rId126" Type="http://schemas.openxmlformats.org/officeDocument/2006/relationships/hyperlink" Target="https://www.synetics.world/news/proof-run-april-2024-index-communication" TargetMode="External"/><Relationship Id="rId127" Type="http://schemas.openxmlformats.org/officeDocument/2006/relationships/hyperlink" Target="https://nordicebv.info/wp-content/uploads/2025/02/NTM-&#8211;-weight-factors_04022025.pdf" TargetMode="External"/><Relationship Id="rId128" Type="http://schemas.openxmlformats.org/officeDocument/2006/relationships/hyperlink" Target="https://nordicebv.info/wp-content/uploads/2025/02/NTM-&#8211;-weight-factors_04022025.pdf" TargetMode="External"/><Relationship Id="rId129" Type="http://schemas.openxmlformats.org/officeDocument/2006/relationships/hyperlink" Target="https://nordicebv.info/wp-content/uploads/2025/02/NTM-&#8211;-weight-factors_04022025.pdf" TargetMode="External"/><Relationship Id="rId130" Type="http://schemas.openxmlformats.org/officeDocument/2006/relationships/hyperlink" Target="https://nordicebv.info/wp-content/uploads/2025/02/NTM-&#8211;-weight-factors_04022025.pdf" TargetMode="External"/><Relationship Id="rId131" Type="http://schemas.openxmlformats.org/officeDocument/2006/relationships/hyperlink" Target="https://nordicebv.info/saved-feed/" TargetMode="External"/><Relationship Id="rId132" Type="http://schemas.openxmlformats.org/officeDocument/2006/relationships/hyperlink" Target="https://nordicebv.info/saved-feed/" TargetMode="External"/><Relationship Id="rId133" Type="http://schemas.openxmlformats.org/officeDocument/2006/relationships/hyperlink" Target="https://nordicebv.info/saved-feed/" TargetMode="External"/><Relationship Id="rId134" Type="http://schemas.openxmlformats.org/officeDocument/2006/relationships/hyperlink" Target="https://www.vikinggenetics.com/about-us/innovative-breeding/ntm/saved-feed" TargetMode="External"/><Relationship Id="rId135" Type="http://schemas.openxmlformats.org/officeDocument/2006/relationships/hyperlink" Target="https://www.vikinggenetics.com/about-us/innovative-breeding/ntm/saved-feed" TargetMode="External"/><Relationship Id="rId136" Type="http://schemas.openxmlformats.org/officeDocument/2006/relationships/hyperlink" Target="https://www.vikinggenetics.com/about-us/innovative-breeding/ntm/saved-feed" TargetMode="External"/><Relationship Id="rId137" Type="http://schemas.openxmlformats.org/officeDocument/2006/relationships/hyperlink" Target="https://crv4all.com/en/service/breeding-values-explained" TargetMode="External"/><Relationship Id="rId138" Type="http://schemas.openxmlformats.org/officeDocument/2006/relationships/hyperlink" Target="https://crv4all.com/en/service/breeding-values-explained" TargetMode="External"/><Relationship Id="rId139" Type="http://schemas.openxmlformats.org/officeDocument/2006/relationships/hyperlink" Target="https://crv4all.com/en/service/breeding-values-explained" TargetMode="External"/><Relationship Id="rId140" Type="http://schemas.openxmlformats.org/officeDocument/2006/relationships/hyperlink" Target="https://www.cooperatie-crv.nl/wp-content/uploads/2023/04/E_20-NVI-April-2023-Engels.pdf" TargetMode="External"/><Relationship Id="rId141" Type="http://schemas.openxmlformats.org/officeDocument/2006/relationships/hyperlink" Target="https://www.cooperatie-crv.nl/wp-content/uploads/2023/04/E_20-NVI-April-2023-Engels.pdf" TargetMode="External"/><Relationship Id="rId142" Type="http://schemas.openxmlformats.org/officeDocument/2006/relationships/hyperlink" Target="https://crv4all.com/en/news/milking-robot-data-making-inroads-in-breeding-value-estimation" TargetMode="External"/><Relationship Id="rId143" Type="http://schemas.openxmlformats.org/officeDocument/2006/relationships/hyperlink" Target="https://crv4all.com/en/news/milking-robot-data-making-inroads-in-breeding-value-estimation" TargetMode="External"/><Relationship Id="rId144" Type="http://schemas.openxmlformats.org/officeDocument/2006/relationships/hyperlink" Target="https://www.vit.de/en/aktuelles/april-zuchtwerte-2024-fuer-milchrinder" TargetMode="External"/><Relationship Id="rId145" Type="http://schemas.openxmlformats.org/officeDocument/2006/relationships/hyperlink" Target="https://www.vit.de/en/aktuelles/april-zuchtwerte-2024-fuer-milchrinder" TargetMode="External"/><Relationship Id="rId146" Type="http://schemas.openxmlformats.org/officeDocument/2006/relationships/hyperlink" Target="https://www.vit.de/en/aktuelles/april-zuchtwerte-2024-fuer-milchrinder" TargetMode="External"/><Relationship Id="rId147" Type="http://schemas.openxmlformats.org/officeDocument/2006/relationships/hyperlink" Target="https://www.icbf.com/economic-breeding-index-ebi/" TargetMode="External"/><Relationship Id="rId148" Type="http://schemas.openxmlformats.org/officeDocument/2006/relationships/hyperlink" Target="https://www.icbf.com/economic-breeding-index-ebi/" TargetMode="External"/><Relationship Id="rId149" Type="http://schemas.openxmlformats.org/officeDocument/2006/relationships/hyperlink" Target="https://www.icbf.com/economic-breeding-index-ebi/" TargetMode="External"/><Relationship Id="rId150" Type="http://schemas.openxmlformats.org/officeDocument/2006/relationships/hyperlink" Target="https://www.icbf.com/economic-breeding-index-ebi/" TargetMode="External"/><Relationship Id="rId151" Type="http://schemas.openxmlformats.org/officeDocument/2006/relationships/hyperlink" Target="https://idele.fr/fileadmin/medias/Documents/Nomenclatures/Nomenclature_BL_en.pdf" TargetMode="External"/><Relationship Id="rId152" Type="http://schemas.openxmlformats.org/officeDocument/2006/relationships/hyperlink" Target="https://idele.fr/fileadmin/medias/Documents/Nomenclatures/Nomenclature_BL_en.pdf" TargetMode="External"/><Relationship Id="rId153" Type="http://schemas.openxmlformats.org/officeDocument/2006/relationships/hyperlink" Target="https://idele.fr/fileadmin/medias/Documents/Nomenclatures/Nomenclature_BL_en.pdf" TargetMode="External"/><Relationship Id="rId154" Type="http://schemas.openxmlformats.org/officeDocument/2006/relationships/hyperlink" Target="https://idele.fr/fileadmin/medias/Documents/Nomenclatures/Nomenclature_BL_en.pdf" TargetMode="External"/><Relationship Id="rId155" Type="http://schemas.openxmlformats.org/officeDocument/2006/relationships/hyperlink" Target="https://www.dairynz.co.nz/animal/breeding-decisions/breeding-worth/" TargetMode="External"/><Relationship Id="rId156" Type="http://schemas.openxmlformats.org/officeDocument/2006/relationships/hyperlink" Target="https://www.dairynz.co.nz/animal/breeding-decisions/breeding-worth/" TargetMode="External"/><Relationship Id="rId157" Type="http://schemas.openxmlformats.org/officeDocument/2006/relationships/hyperlink" Target="https://www.dairynz.co.nz/animal/breeding-decisions/breeding-worth/" TargetMode="External"/><Relationship Id="rId158" Type="http://schemas.openxmlformats.org/officeDocument/2006/relationships/hyperlink" Target="https://lactanet.ca/en/improved-selection-feed-efficiency/" TargetMode="External"/><Relationship Id="rId159" Type="http://schemas.openxmlformats.org/officeDocument/2006/relationships/hyperlink" Target="https://lactanet.ca/en/improved-selection-feed-efficiency/" TargetMode="External"/><Relationship Id="rId160" Type="http://schemas.openxmlformats.org/officeDocument/2006/relationships/hyperlink" Target="https://lactanet.ca/en/new-look-feed-efficiency/" TargetMode="External"/><Relationship Id="rId161" Type="http://schemas.openxmlformats.org/officeDocument/2006/relationships/hyperlink" Target="https://lactanet.ca/en/new-look-feed-efficiency/" TargetMode="External"/><Relationship Id="rId162" Type="http://schemas.openxmlformats.org/officeDocument/2006/relationships/hyperlink" Target="https://nordicebv.info/wp-content/uploads/2025/02/Correlations-between-NTM-and-sub-indices-2025-1.pdf" TargetMode="External"/><Relationship Id="rId163" Type="http://schemas.openxmlformats.org/officeDocument/2006/relationships/hyperlink" Target="https://nordicebv.info/wp-content/uploads/2025/02/Correlations-between-NTM-and-sub-indices-2025-1.pdf" TargetMode="External"/><Relationship Id="rId164" Type="http://schemas.openxmlformats.org/officeDocument/2006/relationships/hyperlink" Target="https://journal.interbull.org/index.php/ib/article/view/1942" TargetMode="External"/><Relationship Id="rId165" Type="http://schemas.openxmlformats.org/officeDocument/2006/relationships/hyperlink" Target="https://journal.interbull.org/index.php/ib/article/view/1942" TargetMode="External"/><Relationship Id="rId166" Type="http://schemas.openxmlformats.org/officeDocument/2006/relationships/hyperlink" Target="https://wiki.interbull.org/public/Nat_GE_Forms?action=AttachFile&amp;do=get&amp;target=FRAuh.rtf" TargetMode="External"/><Relationship Id="rId167" Type="http://schemas.openxmlformats.org/officeDocument/2006/relationships/hyperlink" Target="https://wiki.interbull.org/public/Nat_GE_Forms?action=AttachFile&amp;do=get&amp;target=FRAuh.rtf" TargetMode="External"/><Relationship Id="rId168" Type="http://schemas.openxmlformats.org/officeDocument/2006/relationships/hyperlink" Target="https://www.icbf.com/what-are-the-benefits-of-weighing-dairy-females/" TargetMode="External"/><Relationship Id="rId169" Type="http://schemas.openxmlformats.org/officeDocument/2006/relationships/hyperlink" Target="https://www.icbf.com/what-are-the-benefits-of-weighing-dairy-females/" TargetMode="External"/><Relationship Id="rId170" Type="http://schemas.openxmlformats.org/officeDocument/2006/relationships/hyperlink" Target="https://www.dairynz.co.nz/animal/breeding-decisions/economic-values/" TargetMode="External"/><Relationship Id="rId171" Type="http://schemas.openxmlformats.org/officeDocument/2006/relationships/hyperlink" Target="https://www.dairynz.co.nz/animal/breeding-decisions/economic-values/" TargetMode="External"/><Relationship Id="rId172" Type="http://schemas.openxmlformats.org/officeDocument/2006/relationships/numbering" Target="numbering.xml"/><Relationship Id="rId173" Type="http://schemas.openxmlformats.org/officeDocument/2006/relationships/fontTable" Target="fontTable.xml"/><Relationship Id="rId174" Type="http://schemas.openxmlformats.org/officeDocument/2006/relationships/settings" Target="settings.xml"/><Relationship Id="rId17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LibreOffice/25.8.5.2$Windows_X86_64 LibreOffice_project/9c8b85f387cc00a89945a79c9e6239f32e450ac2</Application>
  <AppVersion>15.0000</AppVersion>
  <Pages>10</Pages>
  <Words>3070</Words>
  <Characters>22131</Characters>
  <CharactersWithSpaces>24994</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2026-04-30T05:18:37Z</dcterms:created>
  <dc:creator/>
  <dc:description/>
  <dc:language>en</dc:language>
  <cp:lastModifiedBy/>
  <dcterms:modified xsi:type="dcterms:W3CDTF">2026-04-30T11:45:36Z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